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2CCBF5">
      <w:pPr>
        <w:autoSpaceDE w:val="0"/>
        <w:spacing w:line="560" w:lineRule="exact"/>
        <w:jc w:val="center"/>
        <w:rPr>
          <w:rFonts w:ascii="Times New Roman" w:hAnsi="Times New Roman" w:eastAsia="方正小标宋_GBK"/>
          <w:sz w:val="44"/>
          <w:szCs w:val="44"/>
        </w:rPr>
      </w:pPr>
      <w:bookmarkStart w:id="4" w:name="_GoBack"/>
      <w:bookmarkEnd w:id="4"/>
      <w:r>
        <w:rPr>
          <w:rFonts w:hint="eastAsia" w:ascii="宋体" w:hAnsi="宋体" w:cs="宋体"/>
          <w:sz w:val="44"/>
          <w:szCs w:val="44"/>
        </w:rPr>
        <w:t>鄂伦春自治旗</w:t>
      </w:r>
      <w:r>
        <w:rPr>
          <w:rFonts w:ascii="Times New Roman" w:hAnsi="Times New Roman" w:eastAsia="方正小标宋_GBK"/>
          <w:sz w:val="44"/>
          <w:szCs w:val="44"/>
        </w:rPr>
        <w:t>2021</w:t>
      </w:r>
      <w:r>
        <w:rPr>
          <w:rFonts w:hint="eastAsia" w:ascii="宋体" w:hAnsi="宋体" w:cs="宋体"/>
          <w:sz w:val="44"/>
          <w:szCs w:val="44"/>
        </w:rPr>
        <w:t>年渔业补助</w:t>
      </w:r>
    </w:p>
    <w:p w14:paraId="77B662A3">
      <w:pPr>
        <w:autoSpaceDE w:val="0"/>
        <w:spacing w:line="560" w:lineRule="exact"/>
        <w:jc w:val="center"/>
        <w:rPr>
          <w:rFonts w:ascii="Times New Roman" w:hAnsi="Times New Roman" w:eastAsia="方正小标宋简体"/>
          <w:sz w:val="44"/>
          <w:szCs w:val="44"/>
        </w:rPr>
      </w:pPr>
      <w:r>
        <w:rPr>
          <w:rFonts w:hint="eastAsia" w:ascii="宋体" w:hAnsi="宋体" w:cs="宋体"/>
          <w:sz w:val="44"/>
          <w:szCs w:val="44"/>
        </w:rPr>
        <w:t>预算资金项目实施方案</w:t>
      </w:r>
    </w:p>
    <w:p w14:paraId="2280A735">
      <w:pPr>
        <w:autoSpaceDE w:val="0"/>
        <w:spacing w:line="560" w:lineRule="exact"/>
        <w:rPr>
          <w:rFonts w:ascii="Times New Roman" w:hAnsi="Times New Roman" w:eastAsia="仿宋_GB2312"/>
          <w:sz w:val="32"/>
          <w:szCs w:val="32"/>
        </w:rPr>
      </w:pPr>
      <w:r>
        <w:rPr>
          <w:rFonts w:ascii="Times New Roman" w:hAnsi="Times New Roman" w:eastAsia="仿宋_GB2312"/>
          <w:sz w:val="32"/>
          <w:szCs w:val="32"/>
        </w:rPr>
        <w:t xml:space="preserve"> </w:t>
      </w:r>
    </w:p>
    <w:p w14:paraId="3D9D1551">
      <w:pPr>
        <w:autoSpaceDE w:val="0"/>
        <w:spacing w:line="560" w:lineRule="exact"/>
        <w:ind w:firstLine="640" w:firstLineChars="200"/>
        <w:rPr>
          <w:rFonts w:ascii="Times New Roman" w:hAnsi="Times New Roman" w:eastAsia="仿宋_GB2312"/>
          <w:sz w:val="32"/>
          <w:szCs w:val="32"/>
        </w:rPr>
      </w:pPr>
      <w:r>
        <w:rPr>
          <w:rFonts w:ascii="仿宋_GB2312" w:hAnsi="Times New Roman" w:eastAsia="仿宋_GB2312"/>
          <w:sz w:val="32"/>
          <w:szCs w:val="32"/>
        </w:rPr>
        <w:t>按照《内蒙古自治区财政厅关于下达</w:t>
      </w:r>
      <w:r>
        <w:rPr>
          <w:rFonts w:ascii="Times New Roman" w:hAnsi="Times New Roman" w:eastAsia="仿宋_GB2312"/>
          <w:sz w:val="32"/>
          <w:szCs w:val="32"/>
        </w:rPr>
        <w:t>2021</w:t>
      </w:r>
      <w:r>
        <w:rPr>
          <w:rFonts w:ascii="仿宋_GB2312" w:hAnsi="Times New Roman" w:eastAsia="仿宋_GB2312"/>
          <w:sz w:val="32"/>
          <w:szCs w:val="32"/>
        </w:rPr>
        <w:t>年成品油价格调整对渔业补助预算的通知》（内财农〔</w:t>
      </w:r>
      <w:r>
        <w:rPr>
          <w:rFonts w:ascii="Times New Roman" w:hAnsi="Times New Roman" w:eastAsia="仿宋_GB2312"/>
          <w:sz w:val="32"/>
          <w:szCs w:val="32"/>
        </w:rPr>
        <w:t>2021</w:t>
      </w:r>
      <w:r>
        <w:rPr>
          <w:rFonts w:ascii="仿宋_GB2312" w:hAnsi="Times New Roman" w:eastAsia="仿宋_GB2312"/>
          <w:sz w:val="32"/>
          <w:szCs w:val="32"/>
        </w:rPr>
        <w:t>〕</w:t>
      </w:r>
      <w:r>
        <w:rPr>
          <w:rFonts w:ascii="Times New Roman" w:hAnsi="Times New Roman" w:eastAsia="仿宋_GB2312"/>
          <w:sz w:val="32"/>
          <w:szCs w:val="32"/>
        </w:rPr>
        <w:t>858</w:t>
      </w:r>
      <w:r>
        <w:rPr>
          <w:rFonts w:ascii="仿宋_GB2312" w:hAnsi="Times New Roman" w:eastAsia="仿宋_GB2312"/>
          <w:sz w:val="32"/>
          <w:szCs w:val="32"/>
        </w:rPr>
        <w:t>号）和《内蒙古自治区财政厅 农牧厅关于管好用好</w:t>
      </w:r>
      <w:r>
        <w:rPr>
          <w:rFonts w:ascii="Times New Roman" w:hAnsi="Times New Roman" w:eastAsia="仿宋_GB2312"/>
          <w:sz w:val="32"/>
          <w:szCs w:val="32"/>
        </w:rPr>
        <w:t>2021</w:t>
      </w:r>
      <w:r>
        <w:rPr>
          <w:rFonts w:ascii="仿宋_GB2312" w:hAnsi="Times New Roman" w:eastAsia="仿宋_GB2312"/>
          <w:sz w:val="32"/>
          <w:szCs w:val="32"/>
        </w:rPr>
        <w:t>年渔业补助预算资金支持渔业高质量发展的通知》（内财农〔</w:t>
      </w:r>
      <w:r>
        <w:rPr>
          <w:rFonts w:ascii="Times New Roman" w:hAnsi="Times New Roman" w:eastAsia="仿宋_GB2312"/>
          <w:sz w:val="32"/>
          <w:szCs w:val="32"/>
        </w:rPr>
        <w:t>2021</w:t>
      </w:r>
      <w:r>
        <w:rPr>
          <w:rFonts w:ascii="仿宋_GB2312" w:hAnsi="Times New Roman" w:eastAsia="仿宋_GB2312"/>
          <w:sz w:val="32"/>
          <w:szCs w:val="32"/>
        </w:rPr>
        <w:t>〕</w:t>
      </w:r>
      <w:r>
        <w:rPr>
          <w:rFonts w:ascii="Times New Roman" w:hAnsi="Times New Roman" w:eastAsia="仿宋_GB2312"/>
          <w:sz w:val="32"/>
          <w:szCs w:val="32"/>
        </w:rPr>
        <w:t>980</w:t>
      </w:r>
      <w:r>
        <w:rPr>
          <w:rFonts w:ascii="仿宋_GB2312" w:hAnsi="Times New Roman" w:eastAsia="仿宋_GB2312"/>
          <w:sz w:val="32"/>
          <w:szCs w:val="32"/>
        </w:rPr>
        <w:t>号）要求，为管好、用好渔业发展补助资金，提高资金使用效益，推动我旗渔业产业高质量发展，特制定本实施方案。</w:t>
      </w:r>
    </w:p>
    <w:p w14:paraId="6EB99CD6">
      <w:pPr>
        <w:autoSpaceDE w:val="0"/>
        <w:spacing w:line="560" w:lineRule="exact"/>
        <w:ind w:firstLine="640" w:firstLineChars="200"/>
        <w:rPr>
          <w:rFonts w:ascii="Times New Roman" w:hAnsi="Times New Roman" w:eastAsia="黑体"/>
          <w:sz w:val="32"/>
          <w:szCs w:val="32"/>
        </w:rPr>
      </w:pPr>
      <w:r>
        <w:rPr>
          <w:rFonts w:ascii="黑体" w:hAnsi="黑体" w:eastAsia="黑体"/>
          <w:sz w:val="32"/>
          <w:szCs w:val="32"/>
        </w:rPr>
        <w:t>一、指导思想</w:t>
      </w:r>
    </w:p>
    <w:p w14:paraId="1B6E4C2C">
      <w:pPr>
        <w:autoSpaceDE w:val="0"/>
        <w:spacing w:line="560" w:lineRule="exact"/>
        <w:ind w:firstLine="640" w:firstLineChars="200"/>
        <w:rPr>
          <w:rFonts w:ascii="Times New Roman" w:hAnsi="Times New Roman" w:eastAsia="仿宋_GB2312"/>
          <w:sz w:val="32"/>
          <w:szCs w:val="32"/>
        </w:rPr>
      </w:pPr>
      <w:r>
        <w:rPr>
          <w:rFonts w:ascii="仿宋_GB2312" w:hAnsi="Times New Roman" w:eastAsia="仿宋_GB2312"/>
          <w:sz w:val="32"/>
          <w:szCs w:val="32"/>
        </w:rPr>
        <w:t>以习近平新时代中国特色社会主义思想为指导，全面贯彻党</w:t>
      </w:r>
      <w:r>
        <w:rPr>
          <w:rFonts w:ascii="Times New Roman" w:hAnsi="Times New Roman" w:eastAsia="仿宋_GB2312"/>
          <w:sz w:val="32"/>
          <w:szCs w:val="32"/>
        </w:rPr>
        <w:t xml:space="preserve"> 的十九大和十九届二中、三中、四中、五中全会精神，认真落实 党中央、国务院和自治区党委、政府决策部署，牢固树立和贯彻落实新发展理念，以推动我市渔业高质量发展为目标，按照总体稳定、结构优化、提质增效、绿色发展的思路，调整补助资金支出结构和使用方向，构建与渔业资源养护和产业结构调整相协调的新时代渔业发展支持政策体系，为渔业现代化建设提供坚实保障。</w:t>
      </w:r>
    </w:p>
    <w:p w14:paraId="0E899B4C">
      <w:pPr>
        <w:autoSpaceDE w:val="0"/>
        <w:spacing w:line="560" w:lineRule="exact"/>
        <w:ind w:firstLine="640" w:firstLineChars="200"/>
        <w:rPr>
          <w:rFonts w:ascii="Times New Roman" w:hAnsi="Times New Roman" w:eastAsia="黑体"/>
          <w:sz w:val="32"/>
          <w:szCs w:val="32"/>
        </w:rPr>
      </w:pPr>
      <w:r>
        <w:rPr>
          <w:rFonts w:ascii="黑体" w:hAnsi="黑体" w:eastAsia="黑体"/>
          <w:sz w:val="32"/>
          <w:szCs w:val="32"/>
        </w:rPr>
        <w:t>二、基本原则</w:t>
      </w:r>
    </w:p>
    <w:p w14:paraId="4524924A">
      <w:pPr>
        <w:autoSpaceDE w:val="0"/>
        <w:spacing w:line="560" w:lineRule="exact"/>
        <w:ind w:firstLine="643" w:firstLineChars="200"/>
        <w:rPr>
          <w:rFonts w:ascii="Times New Roman" w:hAnsi="Times New Roman" w:eastAsia="仿宋_GB2312"/>
          <w:sz w:val="32"/>
          <w:szCs w:val="32"/>
        </w:rPr>
      </w:pPr>
      <w:r>
        <w:rPr>
          <w:rFonts w:ascii="楷体_GB2312" w:hAnsi="Times New Roman" w:eastAsia="楷体_GB2312"/>
          <w:b/>
          <w:bCs/>
          <w:sz w:val="32"/>
          <w:szCs w:val="32"/>
        </w:rPr>
        <w:t>（一）总体稳定，恰当调整。</w:t>
      </w:r>
      <w:r>
        <w:rPr>
          <w:rFonts w:ascii="仿宋_GB2312" w:hAnsi="Times New Roman" w:eastAsia="仿宋_GB2312"/>
          <w:sz w:val="32"/>
          <w:szCs w:val="32"/>
        </w:rPr>
        <w:t>坚持政策持续性、稳定性，聚焦推进渔业高质量发展。经过渔业发展补助资金重点支持国家出台和规划的惠渔政策、项目的实施，统筹用于贯彻落实国家渔业发展政策，促进本地区渔业发展、改革和管理等目的任务完成。</w:t>
      </w:r>
    </w:p>
    <w:p w14:paraId="4DA04D0A">
      <w:pPr>
        <w:autoSpaceDE w:val="0"/>
        <w:spacing w:line="560" w:lineRule="exact"/>
        <w:ind w:firstLine="643" w:firstLineChars="200"/>
        <w:rPr>
          <w:rFonts w:ascii="Times New Roman" w:hAnsi="Times New Roman" w:eastAsia="仿宋_GB2312"/>
          <w:sz w:val="32"/>
          <w:szCs w:val="32"/>
        </w:rPr>
      </w:pPr>
      <w:r>
        <w:rPr>
          <w:rFonts w:ascii="楷体_GB2312" w:hAnsi="Times New Roman" w:eastAsia="楷体_GB2312"/>
          <w:b/>
          <w:bCs/>
          <w:sz w:val="32"/>
          <w:szCs w:val="32"/>
        </w:rPr>
        <w:t>（二）保证民生，养护资源。</w:t>
      </w:r>
      <w:r>
        <w:rPr>
          <w:rFonts w:ascii="仿宋_GB2312" w:hAnsi="Times New Roman" w:eastAsia="仿宋_GB2312"/>
          <w:sz w:val="32"/>
          <w:szCs w:val="32"/>
        </w:rPr>
        <w:t>坚持以人民为中心的发展理念，发挥渔业独特优势和特征，完善现行补贴方式，引导渔民养护渔业资源，推进生态渔业绿色健康发展。</w:t>
      </w:r>
    </w:p>
    <w:p w14:paraId="753CF30F">
      <w:pPr>
        <w:autoSpaceDE w:val="0"/>
        <w:spacing w:line="560" w:lineRule="exact"/>
        <w:ind w:firstLine="643" w:firstLineChars="200"/>
        <w:rPr>
          <w:rFonts w:ascii="Times New Roman" w:hAnsi="Times New Roman" w:eastAsia="仿宋_GB2312"/>
          <w:sz w:val="32"/>
          <w:szCs w:val="32"/>
        </w:rPr>
      </w:pPr>
      <w:r>
        <w:rPr>
          <w:rFonts w:ascii="楷体_GB2312" w:hAnsi="Times New Roman" w:eastAsia="楷体_GB2312"/>
          <w:b/>
          <w:bCs/>
          <w:sz w:val="32"/>
          <w:szCs w:val="32"/>
        </w:rPr>
        <w:t>（三）明白义务，平稳推进。</w:t>
      </w:r>
      <w:r>
        <w:rPr>
          <w:rFonts w:ascii="仿宋_GB2312" w:hAnsi="Times New Roman" w:eastAsia="仿宋_GB2312"/>
          <w:sz w:val="32"/>
          <w:szCs w:val="32"/>
        </w:rPr>
        <w:t>落实政策调整和实施的主体义务，统筹做好渔业改革发展、渔区社会稳定等重点工作，保持渔民持续增收，促进经济社会发展。</w:t>
      </w:r>
    </w:p>
    <w:p w14:paraId="31FB159C">
      <w:pPr>
        <w:autoSpaceDE w:val="0"/>
        <w:spacing w:line="560" w:lineRule="exact"/>
        <w:ind w:firstLine="640" w:firstLineChars="200"/>
        <w:rPr>
          <w:rFonts w:ascii="Times New Roman" w:hAnsi="Times New Roman" w:eastAsia="黑体"/>
          <w:sz w:val="32"/>
          <w:szCs w:val="32"/>
        </w:rPr>
      </w:pPr>
      <w:r>
        <w:rPr>
          <w:rFonts w:ascii="黑体" w:hAnsi="黑体" w:eastAsia="黑体"/>
          <w:sz w:val="32"/>
          <w:szCs w:val="32"/>
        </w:rPr>
        <w:t>三、目标任务</w:t>
      </w:r>
    </w:p>
    <w:p w14:paraId="7015E7EF">
      <w:pPr>
        <w:autoSpaceDE w:val="0"/>
        <w:spacing w:line="560" w:lineRule="exact"/>
        <w:ind w:firstLine="640" w:firstLineChars="200"/>
        <w:rPr>
          <w:rFonts w:ascii="Times New Roman" w:hAnsi="Times New Roman" w:eastAsia="仿宋_GB2312"/>
          <w:sz w:val="32"/>
          <w:szCs w:val="32"/>
        </w:rPr>
      </w:pPr>
      <w:r>
        <w:rPr>
          <w:rFonts w:ascii="仿宋_GB2312" w:hAnsi="Times New Roman" w:eastAsia="仿宋_GB2312"/>
          <w:sz w:val="32"/>
          <w:szCs w:val="32"/>
        </w:rPr>
        <w:t>加快推进水产养殖业绿色发展，实施传统池塘升级改造，提升水产苗种生产能力；深入开展水产健康养殖示范，大力推广冷水鱼养殖、大水面生态健康养殖；加强渔政执法能力建设，保障水域资源生态安全及水产品质量安全；开展大水面水域生态资源养护，促进我旗渔业经济持续、健康发展。</w:t>
      </w:r>
    </w:p>
    <w:p w14:paraId="273E33E1">
      <w:pPr>
        <w:autoSpaceDE w:val="0"/>
        <w:spacing w:line="560" w:lineRule="exact"/>
        <w:ind w:firstLine="640" w:firstLineChars="200"/>
        <w:rPr>
          <w:rFonts w:ascii="Times New Roman" w:hAnsi="Times New Roman" w:eastAsia="黑体"/>
          <w:sz w:val="32"/>
          <w:szCs w:val="32"/>
        </w:rPr>
      </w:pPr>
      <w:r>
        <w:rPr>
          <w:rFonts w:ascii="黑体" w:hAnsi="黑体" w:eastAsia="黑体"/>
          <w:sz w:val="32"/>
          <w:szCs w:val="32"/>
        </w:rPr>
        <w:t>四、支持重点</w:t>
      </w:r>
    </w:p>
    <w:p w14:paraId="1AC081F1">
      <w:pPr>
        <w:autoSpaceDE w:val="0"/>
        <w:spacing w:line="560" w:lineRule="exact"/>
        <w:ind w:firstLine="643" w:firstLineChars="200"/>
        <w:rPr>
          <w:rFonts w:ascii="Times New Roman" w:hAnsi="Times New Roman" w:eastAsia="仿宋_GB2312"/>
          <w:sz w:val="32"/>
          <w:szCs w:val="32"/>
        </w:rPr>
      </w:pPr>
      <w:r>
        <w:rPr>
          <w:rFonts w:hint="eastAsia" w:ascii="楷体_GB2312" w:eastAsia="楷体_GB2312"/>
          <w:b/>
          <w:bCs/>
          <w:sz w:val="32"/>
          <w:szCs w:val="32"/>
        </w:rPr>
        <w:t>（一）推动渔业高质量发展。</w:t>
      </w:r>
      <w:r>
        <w:rPr>
          <w:rFonts w:ascii="仿宋_GB2312" w:hAnsi="Times New Roman" w:eastAsia="仿宋_GB2312"/>
          <w:sz w:val="32"/>
          <w:szCs w:val="32"/>
        </w:rPr>
        <w:t>按照总体稳定、结构优化、提质增效、绿色发展的思路，对标呼伦贝尔市渔业补助预算资金项目</w:t>
      </w:r>
      <w:r>
        <w:rPr>
          <w:rFonts w:ascii="Times New Roman" w:hAnsi="Times New Roman" w:eastAsia="仿宋_GB2312"/>
          <w:sz w:val="32"/>
          <w:szCs w:val="32"/>
        </w:rPr>
        <w:t>2021</w:t>
      </w:r>
      <w:r>
        <w:rPr>
          <w:rFonts w:ascii="仿宋_GB2312" w:hAnsi="Times New Roman" w:eastAsia="仿宋_GB2312"/>
          <w:sz w:val="32"/>
          <w:szCs w:val="32"/>
        </w:rPr>
        <w:t>年度目标及绩效指标表，</w:t>
      </w:r>
      <w:r>
        <w:rPr>
          <w:rFonts w:hint="eastAsia" w:ascii="仿宋_GB2312" w:hAnsi="Times New Roman" w:eastAsia="仿宋_GB2312"/>
          <w:sz w:val="32"/>
          <w:szCs w:val="32"/>
          <w:lang w:val="en-US" w:eastAsia="zh-CN"/>
        </w:rPr>
        <w:t>支持</w:t>
      </w:r>
      <w:r>
        <w:rPr>
          <w:rFonts w:hint="eastAsia" w:ascii="仿宋_GB2312" w:hAnsi="Times New Roman" w:eastAsia="仿宋_GB2312"/>
          <w:sz w:val="32"/>
          <w:szCs w:val="32"/>
        </w:rPr>
        <w:t>提升我旗</w:t>
      </w:r>
      <w:r>
        <w:rPr>
          <w:rFonts w:hint="eastAsia" w:ascii="仿宋_GB2312" w:hAnsi="Times New Roman" w:eastAsia="仿宋_GB2312"/>
          <w:sz w:val="32"/>
          <w:szCs w:val="32"/>
          <w:lang w:val="en-US" w:eastAsia="zh-CN"/>
        </w:rPr>
        <w:t>休闲渔业、设施渔业和</w:t>
      </w:r>
      <w:r>
        <w:rPr>
          <w:rFonts w:hint="eastAsia" w:ascii="仿宋_GB2312" w:hAnsi="Times New Roman" w:eastAsia="仿宋_GB2312"/>
          <w:sz w:val="32"/>
          <w:szCs w:val="32"/>
        </w:rPr>
        <w:t>冷水鱼养殖，对</w:t>
      </w:r>
      <w:r>
        <w:rPr>
          <w:rFonts w:hint="eastAsia" w:ascii="仿宋_GB2312" w:hAnsi="Times New Roman" w:eastAsia="仿宋_GB2312"/>
          <w:sz w:val="32"/>
          <w:szCs w:val="32"/>
          <w:lang w:val="en-US" w:eastAsia="zh-CN"/>
        </w:rPr>
        <w:t>阿里河镇渔业养殖户姚强和</w:t>
      </w:r>
      <w:r>
        <w:rPr>
          <w:rFonts w:ascii="仿宋_GB2312" w:hAnsi="Times New Roman" w:eastAsia="仿宋_GB2312"/>
          <w:sz w:val="32"/>
          <w:szCs w:val="32"/>
        </w:rPr>
        <w:t>诺敏镇鑫龙祥养殖农民专业合作社</w:t>
      </w:r>
      <w:r>
        <w:rPr>
          <w:rFonts w:hint="eastAsia" w:ascii="仿宋_GB2312" w:hAnsi="Times New Roman" w:eastAsia="仿宋_GB2312"/>
          <w:sz w:val="32"/>
          <w:szCs w:val="32"/>
        </w:rPr>
        <w:t>进行补助。</w:t>
      </w:r>
    </w:p>
    <w:p w14:paraId="7745E03C">
      <w:pPr>
        <w:autoSpaceDE w:val="0"/>
        <w:spacing w:line="560" w:lineRule="exact"/>
        <w:ind w:firstLine="640" w:firstLineChars="200"/>
        <w:rPr>
          <w:rFonts w:hint="eastAsia" w:ascii="Times New Roman" w:hAnsi="Times New Roman" w:eastAsia="仿宋_GB2312"/>
          <w:sz w:val="32"/>
          <w:szCs w:val="32"/>
        </w:rPr>
      </w:pPr>
      <w:r>
        <w:rPr>
          <w:rFonts w:ascii="Times New Roman" w:hAnsi="Times New Roman" w:eastAsia="仿宋_GB2312"/>
          <w:sz w:val="32"/>
          <w:szCs w:val="32"/>
        </w:rPr>
        <w:t>1.</w:t>
      </w:r>
      <w:r>
        <w:rPr>
          <w:rFonts w:ascii="仿宋_GB2312" w:hAnsi="Times New Roman" w:eastAsia="仿宋_GB2312"/>
          <w:sz w:val="32"/>
          <w:szCs w:val="32"/>
        </w:rPr>
        <w:t>鄂伦春自治旗</w:t>
      </w:r>
      <w:r>
        <w:rPr>
          <w:rFonts w:hint="eastAsia" w:ascii="仿宋_GB2312" w:hAnsi="Times New Roman" w:eastAsia="仿宋_GB2312"/>
          <w:sz w:val="32"/>
          <w:szCs w:val="32"/>
          <w:lang w:val="en-US" w:eastAsia="zh-CN"/>
        </w:rPr>
        <w:t>阿里河镇休闲渔业</w:t>
      </w:r>
      <w:r>
        <w:rPr>
          <w:rFonts w:ascii="仿宋_GB2312" w:hAnsi="Times New Roman" w:eastAsia="仿宋_GB2312"/>
          <w:sz w:val="32"/>
          <w:szCs w:val="32"/>
        </w:rPr>
        <w:t>建设项目</w:t>
      </w:r>
    </w:p>
    <w:p w14:paraId="24F62542">
      <w:pPr>
        <w:autoSpaceDE w:val="0"/>
        <w:spacing w:line="560" w:lineRule="exact"/>
        <w:ind w:firstLine="643" w:firstLineChars="200"/>
        <w:rPr>
          <w:rFonts w:hint="default" w:ascii="Times New Roman" w:hAnsi="Times New Roman" w:eastAsia="仿宋_GB2312"/>
          <w:sz w:val="32"/>
          <w:szCs w:val="32"/>
          <w:lang w:val="en-US" w:eastAsia="zh-CN"/>
        </w:rPr>
      </w:pPr>
      <w:r>
        <w:rPr>
          <w:rFonts w:ascii="仿宋_GB2312" w:hAnsi="Times New Roman" w:eastAsia="仿宋_GB2312"/>
          <w:b/>
          <w:bCs/>
          <w:sz w:val="32"/>
          <w:szCs w:val="32"/>
        </w:rPr>
        <w:t>建设地点：</w:t>
      </w:r>
      <w:r>
        <w:rPr>
          <w:rFonts w:hint="eastAsia" w:ascii="仿宋_GB2312" w:hAnsi="Times New Roman" w:eastAsia="仿宋_GB2312"/>
          <w:sz w:val="32"/>
          <w:szCs w:val="32"/>
          <w:lang w:val="en-US" w:eastAsia="zh-CN"/>
        </w:rPr>
        <w:t>阿里河镇齐奇岭村西南500米</w:t>
      </w:r>
    </w:p>
    <w:p w14:paraId="53C6F82E">
      <w:pPr>
        <w:autoSpaceDE w:val="0"/>
        <w:spacing w:line="560" w:lineRule="exact"/>
        <w:ind w:firstLine="643" w:firstLineChars="200"/>
        <w:rPr>
          <w:rFonts w:ascii="Times New Roman" w:hAnsi="Times New Roman" w:eastAsia="仿宋_GB2312"/>
          <w:sz w:val="32"/>
          <w:szCs w:val="32"/>
        </w:rPr>
      </w:pPr>
      <w:r>
        <w:rPr>
          <w:rFonts w:ascii="仿宋_GB2312" w:hAnsi="Times New Roman" w:eastAsia="仿宋_GB2312"/>
          <w:b/>
          <w:bCs/>
          <w:sz w:val="32"/>
          <w:szCs w:val="32"/>
        </w:rPr>
        <w:t>拟投入项目资金：</w:t>
      </w:r>
      <w:r>
        <w:rPr>
          <w:rFonts w:ascii="Times New Roman" w:hAnsi="Times New Roman" w:eastAsia="仿宋_GB2312"/>
          <w:sz w:val="32"/>
          <w:szCs w:val="32"/>
        </w:rPr>
        <w:t>1</w:t>
      </w:r>
      <w:r>
        <w:rPr>
          <w:rFonts w:hint="eastAsia" w:ascii="Times New Roman" w:hAnsi="Times New Roman" w:eastAsia="仿宋_GB2312"/>
          <w:sz w:val="32"/>
          <w:szCs w:val="32"/>
          <w:lang w:val="en-US" w:eastAsia="zh-CN"/>
        </w:rPr>
        <w:t>5.8</w:t>
      </w:r>
      <w:r>
        <w:rPr>
          <w:rFonts w:ascii="仿宋_GB2312" w:hAnsi="Times New Roman" w:eastAsia="仿宋_GB2312"/>
          <w:sz w:val="32"/>
          <w:szCs w:val="32"/>
        </w:rPr>
        <w:t>万元</w:t>
      </w:r>
    </w:p>
    <w:p w14:paraId="1621ED9B">
      <w:pPr>
        <w:autoSpaceDE w:val="0"/>
        <w:spacing w:line="560" w:lineRule="exact"/>
        <w:ind w:firstLine="643" w:firstLineChars="200"/>
        <w:rPr>
          <w:rFonts w:ascii="仿宋_GB2312" w:hAnsi="Times New Roman" w:eastAsia="仿宋_GB2312"/>
          <w:b/>
          <w:bCs/>
          <w:sz w:val="32"/>
          <w:szCs w:val="32"/>
        </w:rPr>
      </w:pPr>
      <w:r>
        <w:rPr>
          <w:rFonts w:ascii="仿宋_GB2312" w:hAnsi="Times New Roman" w:eastAsia="仿宋_GB2312"/>
          <w:b/>
          <w:bCs/>
          <w:sz w:val="32"/>
          <w:szCs w:val="32"/>
        </w:rPr>
        <w:t>资金使用内容：</w:t>
      </w:r>
    </w:p>
    <w:p w14:paraId="51F5A06B">
      <w:pPr>
        <w:numPr>
          <w:ilvl w:val="0"/>
          <w:numId w:val="0"/>
        </w:numPr>
        <w:autoSpaceDE w:val="0"/>
        <w:spacing w:line="560" w:lineRule="exact"/>
        <w:ind w:firstLine="640" w:firstLineChars="200"/>
        <w:rPr>
          <w:rFonts w:hint="eastAsia" w:ascii="仿宋_GB2312" w:hAnsi="Times New Roman" w:eastAsia="仿宋_GB2312"/>
          <w:sz w:val="32"/>
          <w:szCs w:val="32"/>
          <w:lang w:val="en-US" w:eastAsia="zh-CN"/>
        </w:rPr>
      </w:pPr>
      <w:r>
        <w:rPr>
          <w:rFonts w:hint="eastAsia" w:ascii="仿宋_GB2312" w:hAnsi="Times New Roman" w:eastAsia="仿宋_GB2312"/>
          <w:sz w:val="32"/>
          <w:szCs w:val="32"/>
          <w:lang w:val="en-US" w:eastAsia="zh-CN"/>
        </w:rPr>
        <w:t>一、网箱建设</w:t>
      </w:r>
    </w:p>
    <w:p w14:paraId="3D729CF1">
      <w:pPr>
        <w:numPr>
          <w:ilvl w:val="0"/>
          <w:numId w:val="0"/>
        </w:numPr>
        <w:autoSpaceDE w:val="0"/>
        <w:spacing w:line="560" w:lineRule="exact"/>
        <w:ind w:firstLine="640" w:firstLineChars="200"/>
        <w:rPr>
          <w:rFonts w:hint="eastAsia" w:ascii="仿宋_GB2312" w:hAnsi="Times New Roman" w:eastAsia="仿宋_GB2312"/>
          <w:sz w:val="32"/>
          <w:szCs w:val="32"/>
          <w:lang w:val="en-US" w:eastAsia="zh-CN"/>
        </w:rPr>
      </w:pPr>
      <w:r>
        <w:rPr>
          <w:rFonts w:hint="eastAsia" w:ascii="仿宋_GB2312" w:hAnsi="Times New Roman" w:eastAsia="仿宋_GB2312"/>
          <w:sz w:val="32"/>
          <w:szCs w:val="32"/>
          <w:lang w:val="en-US" w:eastAsia="zh-CN"/>
        </w:rPr>
        <w:t>建设网箱2套，共计600平方。购买塑料浮筒200个，每个100元，共计2万元；箱体6套，</w:t>
      </w:r>
      <w:r>
        <w:rPr>
          <w:rFonts w:ascii="仿宋_GB2312" w:hAnsi="Times New Roman" w:eastAsia="仿宋_GB2312"/>
          <w:sz w:val="32"/>
          <w:szCs w:val="32"/>
        </w:rPr>
        <w:t>每套</w:t>
      </w:r>
      <w:r>
        <w:rPr>
          <w:rFonts w:hint="eastAsia" w:ascii="Times New Roman" w:hAnsi="Times New Roman" w:eastAsia="仿宋_GB2312"/>
          <w:sz w:val="32"/>
          <w:szCs w:val="32"/>
          <w:lang w:val="en-US" w:eastAsia="zh-CN"/>
        </w:rPr>
        <w:t>2000</w:t>
      </w:r>
      <w:r>
        <w:rPr>
          <w:rFonts w:ascii="仿宋_GB2312" w:hAnsi="Times New Roman" w:eastAsia="仿宋_GB2312"/>
          <w:sz w:val="32"/>
          <w:szCs w:val="32"/>
        </w:rPr>
        <w:t>元，</w:t>
      </w:r>
      <w:r>
        <w:rPr>
          <w:rFonts w:hint="eastAsia" w:ascii="仿宋_GB2312" w:hAnsi="Times New Roman" w:eastAsia="仿宋_GB2312"/>
          <w:sz w:val="32"/>
          <w:szCs w:val="32"/>
          <w:lang w:val="en-US" w:eastAsia="zh-CN"/>
        </w:rPr>
        <w:t>共计1.2万元；网箱台面长170米（方钢焊接，木板面），每延长米150元，共计2.55万元；网箱制作总计5.75万元。</w:t>
      </w:r>
    </w:p>
    <w:p w14:paraId="717D7E71">
      <w:pPr>
        <w:numPr>
          <w:ilvl w:val="0"/>
          <w:numId w:val="1"/>
        </w:numPr>
        <w:autoSpaceDE w:val="0"/>
        <w:spacing w:line="560" w:lineRule="exact"/>
        <w:ind w:firstLine="640" w:firstLineChars="200"/>
        <w:rPr>
          <w:rFonts w:hint="eastAsia" w:ascii="仿宋_GB2312" w:hAnsi="Times New Roman" w:eastAsia="仿宋_GB2312"/>
          <w:sz w:val="32"/>
          <w:szCs w:val="32"/>
          <w:lang w:val="en-US" w:eastAsia="zh-CN"/>
        </w:rPr>
      </w:pPr>
      <w:r>
        <w:rPr>
          <w:rFonts w:hint="eastAsia" w:ascii="仿宋_GB2312" w:hAnsi="Times New Roman" w:eastAsia="仿宋_GB2312"/>
          <w:sz w:val="32"/>
          <w:szCs w:val="32"/>
          <w:lang w:val="en-US" w:eastAsia="zh-CN"/>
        </w:rPr>
        <w:t>冬季垂钓大棚建设。建设钢架大棚2套，每套300平方、每平方40元，每套1.2万元，总计2.4万元。</w:t>
      </w:r>
    </w:p>
    <w:p w14:paraId="7968702D">
      <w:pPr>
        <w:numPr>
          <w:ilvl w:val="0"/>
          <w:numId w:val="1"/>
        </w:numPr>
        <w:autoSpaceDE w:val="0"/>
        <w:spacing w:line="560" w:lineRule="exact"/>
        <w:ind w:firstLine="640" w:firstLineChars="200"/>
        <w:rPr>
          <w:rFonts w:ascii="Times New Roman" w:hAnsi="Times New Roman" w:eastAsia="仿宋_GB2312"/>
          <w:sz w:val="32"/>
          <w:szCs w:val="32"/>
        </w:rPr>
      </w:pPr>
      <w:r>
        <w:rPr>
          <w:rFonts w:hint="eastAsia" w:ascii="仿宋_GB2312" w:hAnsi="Times New Roman" w:eastAsia="仿宋_GB2312"/>
          <w:sz w:val="32"/>
          <w:szCs w:val="32"/>
          <w:lang w:val="en-US" w:eastAsia="zh-CN"/>
        </w:rPr>
        <w:t>浮桥建设（钢架结构、铺木板）。建设浮桥150米，购买浮筒150个，每个100元，共计1.5万元；桥面150米，每延长米150元，共计2.25万元；浮桥栏杆300米，每延长米20元，共计0.6万元；总计：4.35万元。</w:t>
      </w:r>
    </w:p>
    <w:p w14:paraId="046E0995">
      <w:pPr>
        <w:numPr>
          <w:ilvl w:val="0"/>
          <w:numId w:val="1"/>
        </w:numPr>
        <w:autoSpaceDE w:val="0"/>
        <w:spacing w:line="560" w:lineRule="exact"/>
        <w:ind w:firstLine="640" w:firstLineChars="200"/>
        <w:rPr>
          <w:rFonts w:ascii="Times New Roman" w:hAnsi="Times New Roman" w:eastAsia="仿宋_GB2312"/>
          <w:sz w:val="32"/>
          <w:szCs w:val="32"/>
        </w:rPr>
      </w:pPr>
      <w:r>
        <w:rPr>
          <w:rFonts w:hint="eastAsia" w:ascii="仿宋_GB2312" w:hAnsi="Times New Roman" w:eastAsia="仿宋_GB2312"/>
          <w:sz w:val="32"/>
          <w:szCs w:val="32"/>
          <w:lang w:val="en-US" w:eastAsia="zh-CN"/>
        </w:rPr>
        <w:t>钓台建设（钢架结构、铺木板）。建设钓台4个，每个9平方，购买浮筒36个，每个100元，共计0.36万元；钓台合计36平方，每平方150元，共计0.54万元；总计：0.9万元。</w:t>
      </w:r>
    </w:p>
    <w:p w14:paraId="716EC1E3">
      <w:pPr>
        <w:numPr>
          <w:ilvl w:val="0"/>
          <w:numId w:val="1"/>
        </w:numPr>
        <w:autoSpaceDE w:val="0"/>
        <w:spacing w:line="560" w:lineRule="exact"/>
        <w:ind w:firstLine="640" w:firstLineChars="200"/>
        <w:rPr>
          <w:rFonts w:hint="default" w:ascii="Times New Roman" w:hAnsi="Times New Roman" w:eastAsia="仿宋_GB2312"/>
          <w:sz w:val="32"/>
          <w:szCs w:val="32"/>
          <w:lang w:val="en-US"/>
        </w:rPr>
      </w:pPr>
      <w:r>
        <w:rPr>
          <w:rFonts w:hint="eastAsia" w:ascii="仿宋_GB2312" w:hAnsi="Times New Roman" w:eastAsia="仿宋_GB2312"/>
          <w:sz w:val="32"/>
          <w:szCs w:val="32"/>
          <w:lang w:val="en-US" w:eastAsia="zh-CN"/>
        </w:rPr>
        <w:t>管护用房建设（钢架结构，苯板房）。管护用房30平方，每平方287元，总计0.86万元。</w:t>
      </w:r>
    </w:p>
    <w:p w14:paraId="05783154">
      <w:pPr>
        <w:numPr>
          <w:ilvl w:val="0"/>
          <w:numId w:val="1"/>
        </w:numPr>
        <w:autoSpaceDE w:val="0"/>
        <w:spacing w:line="560" w:lineRule="exact"/>
        <w:ind w:firstLine="640" w:firstLineChars="200"/>
        <w:rPr>
          <w:rFonts w:hint="default" w:ascii="Times New Roman" w:hAnsi="Times New Roman" w:eastAsia="仿宋_GB2312"/>
          <w:sz w:val="32"/>
          <w:szCs w:val="32"/>
          <w:lang w:val="en-US"/>
        </w:rPr>
      </w:pPr>
      <w:r>
        <w:rPr>
          <w:rFonts w:hint="eastAsia" w:ascii="仿宋_GB2312" w:hAnsi="Times New Roman" w:eastAsia="仿宋_GB2312"/>
          <w:sz w:val="32"/>
          <w:szCs w:val="32"/>
          <w:lang w:val="en-US" w:eastAsia="zh-CN"/>
        </w:rPr>
        <w:t>购买</w:t>
      </w:r>
      <w:r>
        <w:rPr>
          <w:rFonts w:hint="eastAsia" w:ascii="仿宋" w:hAnsi="仿宋" w:eastAsia="仿宋"/>
          <w:kern w:val="0"/>
          <w:sz w:val="32"/>
          <w:szCs w:val="32"/>
          <w:lang w:val="en-US" w:eastAsia="zh-CN"/>
        </w:rPr>
        <w:t>15马力清雪机1台（全齿轮扫抛三合一）</w:t>
      </w:r>
      <w:r>
        <w:rPr>
          <w:rFonts w:ascii="仿宋_GB2312" w:hAnsi="Times New Roman" w:eastAsia="仿宋_GB2312"/>
          <w:sz w:val="32"/>
          <w:szCs w:val="32"/>
        </w:rPr>
        <w:t>需要项目资金</w:t>
      </w:r>
      <w:r>
        <w:rPr>
          <w:rFonts w:ascii="Times New Roman" w:hAnsi="Times New Roman" w:eastAsia="仿宋_GB2312"/>
          <w:sz w:val="32"/>
          <w:szCs w:val="32"/>
        </w:rPr>
        <w:t>1.</w:t>
      </w:r>
      <w:r>
        <w:rPr>
          <w:rFonts w:hint="eastAsia" w:ascii="Times New Roman" w:hAnsi="Times New Roman" w:eastAsia="仿宋_GB2312"/>
          <w:sz w:val="32"/>
          <w:szCs w:val="32"/>
          <w:lang w:val="en-US" w:eastAsia="zh-CN"/>
        </w:rPr>
        <w:t>2</w:t>
      </w:r>
      <w:r>
        <w:rPr>
          <w:rFonts w:ascii="仿宋_GB2312" w:hAnsi="Times New Roman" w:eastAsia="仿宋_GB2312"/>
          <w:sz w:val="32"/>
          <w:szCs w:val="32"/>
        </w:rPr>
        <w:t>万元</w:t>
      </w:r>
      <w:r>
        <w:rPr>
          <w:rFonts w:hint="eastAsia" w:ascii="仿宋_GB2312" w:hAnsi="Times New Roman" w:eastAsia="仿宋_GB2312"/>
          <w:sz w:val="32"/>
          <w:szCs w:val="32"/>
          <w:lang w:eastAsia="zh-CN"/>
        </w:rPr>
        <w:t>。</w:t>
      </w:r>
    </w:p>
    <w:p w14:paraId="32A86374">
      <w:pPr>
        <w:numPr>
          <w:ilvl w:val="0"/>
          <w:numId w:val="1"/>
        </w:numPr>
        <w:autoSpaceDE w:val="0"/>
        <w:spacing w:line="560" w:lineRule="exact"/>
        <w:ind w:firstLine="640" w:firstLineChars="200"/>
        <w:rPr>
          <w:rFonts w:hint="default" w:ascii="Times New Roman" w:hAnsi="Times New Roman" w:eastAsia="仿宋_GB2312"/>
          <w:sz w:val="32"/>
          <w:szCs w:val="32"/>
          <w:lang w:val="en-US"/>
        </w:rPr>
      </w:pPr>
      <w:r>
        <w:rPr>
          <w:rFonts w:hint="eastAsia" w:ascii="仿宋_GB2312" w:hAnsi="Times New Roman" w:eastAsia="仿宋_GB2312"/>
          <w:sz w:val="32"/>
          <w:szCs w:val="32"/>
          <w:lang w:val="en-US" w:eastAsia="zh-CN"/>
        </w:rPr>
        <w:t>购买增氧机2台，每台1700元，共0.34万元</w:t>
      </w:r>
    </w:p>
    <w:p w14:paraId="671015B7">
      <w:pPr>
        <w:autoSpaceDE w:val="0"/>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2.</w:t>
      </w:r>
      <w:r>
        <w:rPr>
          <w:rFonts w:ascii="仿宋_GB2312" w:hAnsi="Times New Roman" w:eastAsia="仿宋_GB2312"/>
          <w:sz w:val="32"/>
          <w:szCs w:val="32"/>
        </w:rPr>
        <w:t>鄂伦春自治旗诺敏镇鑫龙祥养殖农民专业合作社建设项目</w:t>
      </w:r>
    </w:p>
    <w:p w14:paraId="547417D2">
      <w:pPr>
        <w:autoSpaceDE w:val="0"/>
        <w:spacing w:line="560" w:lineRule="exact"/>
        <w:ind w:firstLine="643" w:firstLineChars="200"/>
        <w:rPr>
          <w:rFonts w:ascii="Times New Roman" w:hAnsi="Times New Roman" w:eastAsia="仿宋_GB2312"/>
          <w:sz w:val="32"/>
          <w:szCs w:val="32"/>
        </w:rPr>
      </w:pPr>
      <w:r>
        <w:rPr>
          <w:rFonts w:ascii="仿宋_GB2312" w:hAnsi="Times New Roman" w:eastAsia="仿宋_GB2312"/>
          <w:b/>
          <w:bCs/>
          <w:sz w:val="32"/>
          <w:szCs w:val="32"/>
        </w:rPr>
        <w:t>建设地点：</w:t>
      </w:r>
      <w:r>
        <w:rPr>
          <w:rFonts w:ascii="仿宋_GB2312" w:hAnsi="Times New Roman" w:eastAsia="仿宋_GB2312"/>
          <w:sz w:val="32"/>
          <w:szCs w:val="32"/>
        </w:rPr>
        <w:t>诺敏镇吉格腾迪村</w:t>
      </w:r>
    </w:p>
    <w:p w14:paraId="48AC0E4C">
      <w:pPr>
        <w:autoSpaceDE w:val="0"/>
        <w:spacing w:line="560" w:lineRule="exact"/>
        <w:ind w:firstLine="643" w:firstLineChars="200"/>
        <w:rPr>
          <w:rFonts w:ascii="Times New Roman" w:hAnsi="Times New Roman" w:eastAsia="仿宋_GB2312"/>
          <w:sz w:val="32"/>
          <w:szCs w:val="32"/>
        </w:rPr>
      </w:pPr>
      <w:r>
        <w:rPr>
          <w:rFonts w:ascii="仿宋_GB2312" w:hAnsi="Times New Roman" w:eastAsia="仿宋_GB2312"/>
          <w:b/>
          <w:bCs/>
          <w:sz w:val="32"/>
          <w:szCs w:val="32"/>
        </w:rPr>
        <w:t>拟投入资金：</w:t>
      </w:r>
      <w:r>
        <w:rPr>
          <w:rFonts w:hint="eastAsia" w:ascii="Times New Roman" w:hAnsi="Times New Roman" w:eastAsia="仿宋_GB2312"/>
          <w:sz w:val="32"/>
          <w:szCs w:val="32"/>
          <w:lang w:val="en-US" w:eastAsia="zh-CN"/>
        </w:rPr>
        <w:t>3</w:t>
      </w:r>
      <w:r>
        <w:rPr>
          <w:rFonts w:ascii="仿宋_GB2312" w:hAnsi="Times New Roman" w:eastAsia="仿宋_GB2312"/>
          <w:sz w:val="32"/>
          <w:szCs w:val="32"/>
        </w:rPr>
        <w:t>万元</w:t>
      </w:r>
    </w:p>
    <w:p w14:paraId="2E33FFF9">
      <w:pPr>
        <w:autoSpaceDE w:val="0"/>
        <w:spacing w:line="560" w:lineRule="exact"/>
        <w:ind w:firstLine="643" w:firstLineChars="200"/>
        <w:rPr>
          <w:rFonts w:ascii="Times New Roman" w:hAnsi="Times New Roman" w:eastAsia="仿宋_GB2312"/>
          <w:sz w:val="32"/>
          <w:szCs w:val="32"/>
        </w:rPr>
      </w:pPr>
      <w:r>
        <w:rPr>
          <w:rFonts w:ascii="仿宋_GB2312" w:hAnsi="Times New Roman" w:eastAsia="仿宋_GB2312"/>
          <w:b/>
          <w:bCs/>
          <w:sz w:val="32"/>
          <w:szCs w:val="32"/>
        </w:rPr>
        <w:t>建设内容：</w:t>
      </w:r>
      <w:r>
        <w:rPr>
          <w:rFonts w:ascii="仿宋_GB2312" w:hAnsi="Times New Roman" w:eastAsia="仿宋_GB2312"/>
          <w:sz w:val="32"/>
          <w:szCs w:val="32"/>
        </w:rPr>
        <w:t>采购</w:t>
      </w:r>
      <w:r>
        <w:rPr>
          <w:rFonts w:hint="eastAsia" w:ascii="仿宋_GB2312" w:hAnsi="Times New Roman" w:eastAsia="仿宋_GB2312"/>
          <w:sz w:val="32"/>
          <w:szCs w:val="32"/>
          <w:lang w:val="en-US" w:eastAsia="zh-CN"/>
        </w:rPr>
        <w:t>增氧机10台，每台1700元，</w:t>
      </w:r>
      <w:r>
        <w:rPr>
          <w:rFonts w:ascii="仿宋_GB2312" w:hAnsi="Times New Roman" w:eastAsia="仿宋_GB2312"/>
          <w:sz w:val="32"/>
          <w:szCs w:val="32"/>
        </w:rPr>
        <w:t>需要项目资金</w:t>
      </w:r>
      <w:r>
        <w:rPr>
          <w:rFonts w:hint="eastAsia" w:ascii="Times New Roman" w:hAnsi="Times New Roman" w:eastAsia="仿宋_GB2312"/>
          <w:sz w:val="32"/>
          <w:szCs w:val="32"/>
          <w:lang w:val="en-US" w:eastAsia="zh-CN"/>
        </w:rPr>
        <w:t>1.7</w:t>
      </w:r>
      <w:r>
        <w:rPr>
          <w:rFonts w:ascii="仿宋_GB2312" w:hAnsi="Times New Roman" w:eastAsia="仿宋_GB2312"/>
          <w:sz w:val="32"/>
          <w:szCs w:val="32"/>
        </w:rPr>
        <w:t>万元；</w:t>
      </w:r>
      <w:r>
        <w:rPr>
          <w:rFonts w:hint="eastAsia" w:ascii="仿宋_GB2312" w:hAnsi="Times New Roman" w:eastAsia="仿宋_GB2312"/>
          <w:sz w:val="32"/>
          <w:szCs w:val="32"/>
          <w:lang w:val="en-US" w:eastAsia="zh-CN"/>
        </w:rPr>
        <w:t>购买</w:t>
      </w:r>
      <w:r>
        <w:rPr>
          <w:rFonts w:hint="eastAsia" w:ascii="仿宋" w:hAnsi="仿宋" w:eastAsia="仿宋"/>
          <w:kern w:val="0"/>
          <w:sz w:val="32"/>
          <w:szCs w:val="32"/>
          <w:lang w:val="en-US" w:eastAsia="zh-CN"/>
        </w:rPr>
        <w:t>15马力清雪机1台（全齿轮扫抛三合一）</w:t>
      </w:r>
      <w:r>
        <w:rPr>
          <w:rFonts w:ascii="仿宋_GB2312" w:hAnsi="Times New Roman" w:eastAsia="仿宋_GB2312"/>
          <w:sz w:val="32"/>
          <w:szCs w:val="32"/>
        </w:rPr>
        <w:t>需要项目资金</w:t>
      </w:r>
      <w:r>
        <w:rPr>
          <w:rFonts w:ascii="Times New Roman" w:hAnsi="Times New Roman" w:eastAsia="仿宋_GB2312"/>
          <w:sz w:val="32"/>
          <w:szCs w:val="32"/>
        </w:rPr>
        <w:t>1.</w:t>
      </w:r>
      <w:r>
        <w:rPr>
          <w:rFonts w:hint="eastAsia" w:ascii="Times New Roman" w:hAnsi="Times New Roman" w:eastAsia="仿宋_GB2312"/>
          <w:sz w:val="32"/>
          <w:szCs w:val="32"/>
          <w:lang w:val="en-US" w:eastAsia="zh-CN"/>
        </w:rPr>
        <w:t>2</w:t>
      </w:r>
      <w:r>
        <w:rPr>
          <w:rFonts w:ascii="仿宋_GB2312" w:hAnsi="Times New Roman" w:eastAsia="仿宋_GB2312"/>
          <w:sz w:val="32"/>
          <w:szCs w:val="32"/>
        </w:rPr>
        <w:t>万元</w:t>
      </w:r>
      <w:r>
        <w:rPr>
          <w:rFonts w:hint="eastAsia" w:ascii="仿宋_GB2312" w:hAnsi="Times New Roman" w:eastAsia="仿宋_GB2312"/>
          <w:sz w:val="32"/>
          <w:szCs w:val="32"/>
          <w:lang w:eastAsia="zh-CN"/>
        </w:rPr>
        <w:t>；</w:t>
      </w:r>
      <w:r>
        <w:rPr>
          <w:rFonts w:hint="eastAsia" w:ascii="仿宋_GB2312" w:hAnsi="Times New Roman" w:eastAsia="仿宋_GB2312"/>
          <w:sz w:val="32"/>
          <w:szCs w:val="32"/>
          <w:lang w:val="en-US" w:eastAsia="zh-CN"/>
        </w:rPr>
        <w:t>购买18股1目网片，10米75元，133米1000元，总计：3万元</w:t>
      </w:r>
      <w:r>
        <w:rPr>
          <w:rFonts w:ascii="仿宋_GB2312" w:hAnsi="Times New Roman" w:eastAsia="仿宋_GB2312"/>
          <w:sz w:val="32"/>
          <w:szCs w:val="32"/>
        </w:rPr>
        <w:t>。</w:t>
      </w:r>
    </w:p>
    <w:p w14:paraId="2C7D3355">
      <w:pPr>
        <w:autoSpaceDE w:val="0"/>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3.</w:t>
      </w:r>
      <w:r>
        <w:rPr>
          <w:rFonts w:ascii="仿宋_GB2312" w:hAnsi="Times New Roman" w:eastAsia="仿宋_GB2312"/>
          <w:sz w:val="32"/>
          <w:szCs w:val="32"/>
        </w:rPr>
        <w:t>技术指导费用</w:t>
      </w:r>
      <w:r>
        <w:rPr>
          <w:rFonts w:ascii="Times New Roman" w:hAnsi="Times New Roman" w:eastAsia="仿宋_GB2312"/>
          <w:sz w:val="32"/>
          <w:szCs w:val="32"/>
        </w:rPr>
        <w:t>3.0</w:t>
      </w:r>
      <w:r>
        <w:rPr>
          <w:rFonts w:ascii="仿宋_GB2312" w:hAnsi="Times New Roman" w:eastAsia="仿宋_GB2312"/>
          <w:sz w:val="32"/>
          <w:szCs w:val="32"/>
        </w:rPr>
        <w:t>万元、宣传材料费用</w:t>
      </w:r>
      <w:r>
        <w:rPr>
          <w:rFonts w:ascii="Times New Roman" w:hAnsi="Times New Roman" w:eastAsia="仿宋_GB2312"/>
          <w:sz w:val="32"/>
          <w:szCs w:val="32"/>
        </w:rPr>
        <w:t>1.9</w:t>
      </w:r>
      <w:r>
        <w:rPr>
          <w:rFonts w:ascii="仿宋_GB2312" w:hAnsi="Times New Roman" w:eastAsia="仿宋_GB2312"/>
          <w:sz w:val="32"/>
          <w:szCs w:val="32"/>
        </w:rPr>
        <w:t>万元。</w:t>
      </w:r>
    </w:p>
    <w:p w14:paraId="020C837D">
      <w:pPr>
        <w:autoSpaceDE w:val="0"/>
        <w:spacing w:line="560" w:lineRule="exact"/>
        <w:ind w:firstLine="643" w:firstLineChars="200"/>
        <w:rPr>
          <w:rFonts w:ascii="Times New Roman" w:hAnsi="Times New Roman" w:eastAsia="仿宋_GB2312"/>
          <w:sz w:val="32"/>
          <w:szCs w:val="32"/>
        </w:rPr>
      </w:pPr>
      <w:r>
        <w:rPr>
          <w:rFonts w:hint="eastAsia" w:ascii="楷体_GB2312" w:eastAsia="楷体_GB2312"/>
          <w:b/>
          <w:bCs/>
          <w:sz w:val="32"/>
          <w:szCs w:val="32"/>
        </w:rPr>
        <w:t>（二）强化水域资源生态安全和水产品质量安全。</w:t>
      </w:r>
      <w:r>
        <w:rPr>
          <w:rFonts w:ascii="仿宋_GB2312" w:hAnsi="Times New Roman" w:eastAsia="仿宋_GB2312"/>
          <w:sz w:val="32"/>
          <w:szCs w:val="32"/>
        </w:rPr>
        <w:t>按照农业农村部和自治区农牧厅关于实施</w:t>
      </w:r>
      <w:r>
        <w:rPr>
          <w:rFonts w:ascii="Times New Roman" w:hAnsi="Times New Roman" w:eastAsia="仿宋_GB2312"/>
          <w:sz w:val="32"/>
          <w:szCs w:val="32"/>
        </w:rPr>
        <w:t>2021—2023</w:t>
      </w:r>
      <w:r>
        <w:rPr>
          <w:rFonts w:ascii="仿宋_GB2312" w:hAnsi="Times New Roman" w:eastAsia="仿宋_GB2312"/>
          <w:sz w:val="32"/>
          <w:szCs w:val="32"/>
        </w:rPr>
        <w:t>年加强水产养殖用投入品专项整治工作，严格落实质量安全主体责任，加强水产养殖用饲料、兽药等投入品规范管理，严格执行休药期管理规定，加大对重点养殖场、苗种抽检力度，保障水产品安全供给，积极打造水产品和区域公共产品品牌，提升经济效益和发展质量，加快推进水产养殖业绿色发展</w:t>
      </w:r>
      <w:r>
        <w:rPr>
          <w:rFonts w:hint="eastAsia" w:ascii="仿宋_GB2312" w:hAnsi="Times New Roman" w:eastAsia="仿宋_GB2312"/>
          <w:sz w:val="32"/>
          <w:szCs w:val="32"/>
        </w:rPr>
        <w:t>。</w:t>
      </w:r>
      <w:r>
        <w:rPr>
          <w:rFonts w:ascii="仿宋_GB2312" w:hAnsi="Times New Roman" w:eastAsia="仿宋_GB2312"/>
          <w:sz w:val="32"/>
          <w:szCs w:val="32"/>
        </w:rPr>
        <w:t>计划</w:t>
      </w:r>
      <w:r>
        <w:rPr>
          <w:rFonts w:hint="eastAsia" w:ascii="仿宋_GB2312" w:hAnsi="Times New Roman" w:eastAsia="仿宋_GB2312"/>
          <w:sz w:val="32"/>
          <w:szCs w:val="32"/>
        </w:rPr>
        <w:t>使用补助资金</w:t>
      </w:r>
      <w:r>
        <w:rPr>
          <w:rFonts w:hint="eastAsia" w:ascii="Times New Roman" w:hAnsi="Times New Roman" w:eastAsia="仿宋_GB2312"/>
          <w:sz w:val="32"/>
          <w:szCs w:val="32"/>
          <w:lang w:val="en-US" w:eastAsia="zh-CN"/>
        </w:rPr>
        <w:t>1.5</w:t>
      </w:r>
      <w:r>
        <w:rPr>
          <w:rFonts w:hint="eastAsia" w:ascii="仿宋_GB2312" w:hAnsi="Times New Roman" w:eastAsia="仿宋_GB2312"/>
          <w:sz w:val="32"/>
          <w:szCs w:val="32"/>
        </w:rPr>
        <w:t>万元，</w:t>
      </w:r>
      <w:r>
        <w:rPr>
          <w:rFonts w:ascii="仿宋_GB2312" w:hAnsi="Times New Roman" w:eastAsia="仿宋_GB2312"/>
          <w:sz w:val="32"/>
          <w:szCs w:val="32"/>
        </w:rPr>
        <w:t>购置水产品快速检测仪器一套，配套试剂盒</w:t>
      </w:r>
      <w:r>
        <w:rPr>
          <w:rFonts w:hint="eastAsia" w:ascii="Times New Roman" w:hAnsi="Times New Roman" w:eastAsia="仿宋_GB2312"/>
          <w:sz w:val="32"/>
          <w:szCs w:val="32"/>
          <w:lang w:val="en-US" w:eastAsia="zh-CN"/>
        </w:rPr>
        <w:t>2</w:t>
      </w:r>
      <w:r>
        <w:rPr>
          <w:rFonts w:ascii="Times New Roman" w:hAnsi="Times New Roman" w:eastAsia="仿宋_GB2312"/>
          <w:sz w:val="32"/>
          <w:szCs w:val="32"/>
        </w:rPr>
        <w:t>0</w:t>
      </w:r>
      <w:r>
        <w:rPr>
          <w:rFonts w:ascii="仿宋_GB2312" w:hAnsi="Times New Roman" w:eastAsia="仿宋_GB2312"/>
          <w:sz w:val="32"/>
          <w:szCs w:val="32"/>
        </w:rPr>
        <w:t>盒，以及移液器、比色皿、吸头、等耗材；计划</w:t>
      </w:r>
      <w:r>
        <w:rPr>
          <w:rFonts w:hint="eastAsia" w:ascii="仿宋_GB2312" w:hAnsi="Times New Roman" w:eastAsia="仿宋_GB2312"/>
          <w:sz w:val="32"/>
          <w:szCs w:val="32"/>
        </w:rPr>
        <w:t>使用补助资金</w:t>
      </w:r>
      <w:r>
        <w:rPr>
          <w:rFonts w:ascii="Times New Roman" w:hAnsi="Times New Roman" w:eastAsia="仿宋_GB2312"/>
          <w:sz w:val="32"/>
          <w:szCs w:val="32"/>
        </w:rPr>
        <w:t>1</w:t>
      </w:r>
      <w:r>
        <w:rPr>
          <w:rFonts w:hint="eastAsia" w:ascii="仿宋_GB2312" w:hAnsi="Times New Roman" w:eastAsia="仿宋_GB2312"/>
          <w:sz w:val="32"/>
          <w:szCs w:val="32"/>
        </w:rPr>
        <w:t>万元</w:t>
      </w:r>
      <w:r>
        <w:rPr>
          <w:rFonts w:ascii="仿宋_GB2312" w:hAnsi="Times New Roman" w:eastAsia="仿宋_GB2312"/>
          <w:sz w:val="32"/>
          <w:szCs w:val="32"/>
        </w:rPr>
        <w:t>购置快速检测卡（孔雀石、氯霉素、呋喃妥因、呋喃唑酮等快速检测卡</w:t>
      </w:r>
      <w:r>
        <w:rPr>
          <w:rFonts w:ascii="Times New Roman" w:hAnsi="Times New Roman" w:eastAsia="仿宋_GB2312"/>
          <w:sz w:val="32"/>
          <w:szCs w:val="32"/>
        </w:rPr>
        <w:t>400</w:t>
      </w:r>
      <w:r>
        <w:rPr>
          <w:rFonts w:ascii="仿宋_GB2312" w:hAnsi="Times New Roman" w:eastAsia="仿宋_GB2312"/>
          <w:sz w:val="32"/>
          <w:szCs w:val="32"/>
        </w:rPr>
        <w:t>条）；计划</w:t>
      </w:r>
      <w:r>
        <w:rPr>
          <w:rFonts w:hint="eastAsia" w:ascii="仿宋_GB2312" w:hAnsi="Times New Roman" w:eastAsia="仿宋_GB2312"/>
          <w:sz w:val="32"/>
          <w:szCs w:val="32"/>
        </w:rPr>
        <w:t>使用补助资金</w:t>
      </w:r>
      <w:r>
        <w:rPr>
          <w:rFonts w:hint="eastAsia" w:ascii="Times New Roman" w:hAnsi="Times New Roman" w:eastAsia="仿宋_GB2312"/>
          <w:sz w:val="32"/>
          <w:szCs w:val="32"/>
        </w:rPr>
        <w:t>1</w:t>
      </w:r>
      <w:r>
        <w:rPr>
          <w:rFonts w:hint="eastAsia" w:ascii="仿宋_GB2312" w:hAnsi="Times New Roman" w:eastAsia="仿宋_GB2312"/>
          <w:sz w:val="32"/>
          <w:szCs w:val="32"/>
        </w:rPr>
        <w:t>万元，用于</w:t>
      </w:r>
      <w:r>
        <w:rPr>
          <w:rFonts w:ascii="仿宋_GB2312" w:hAnsi="Times New Roman" w:eastAsia="仿宋_GB2312"/>
          <w:sz w:val="32"/>
          <w:szCs w:val="32"/>
        </w:rPr>
        <w:t>配合上级抽检及第三方检测；计划</w:t>
      </w:r>
      <w:r>
        <w:rPr>
          <w:rFonts w:hint="eastAsia" w:ascii="仿宋_GB2312" w:hAnsi="Times New Roman" w:eastAsia="仿宋_GB2312"/>
          <w:sz w:val="32"/>
          <w:szCs w:val="32"/>
        </w:rPr>
        <w:t>使用补助资金</w:t>
      </w:r>
      <w:r>
        <w:rPr>
          <w:rFonts w:hint="eastAsia" w:ascii="Times New Roman" w:hAnsi="Times New Roman" w:eastAsia="仿宋_GB2312"/>
          <w:sz w:val="32"/>
          <w:szCs w:val="32"/>
          <w:lang w:val="en-US" w:eastAsia="zh-CN"/>
        </w:rPr>
        <w:t>1</w:t>
      </w:r>
      <w:r>
        <w:rPr>
          <w:rFonts w:hint="eastAsia" w:ascii="仿宋_GB2312" w:hAnsi="Times New Roman" w:eastAsia="仿宋_GB2312"/>
          <w:sz w:val="32"/>
          <w:szCs w:val="32"/>
        </w:rPr>
        <w:t>万元，开展</w:t>
      </w:r>
      <w:r>
        <w:rPr>
          <w:rFonts w:ascii="仿宋_GB2312" w:hAnsi="Times New Roman" w:eastAsia="仿宋_GB2312"/>
          <w:sz w:val="32"/>
          <w:szCs w:val="32"/>
        </w:rPr>
        <w:t>全旗水产品现场采样检测；计划</w:t>
      </w:r>
      <w:r>
        <w:rPr>
          <w:rFonts w:hint="eastAsia" w:ascii="仿宋_GB2312" w:hAnsi="Times New Roman" w:eastAsia="仿宋_GB2312"/>
          <w:sz w:val="32"/>
          <w:szCs w:val="32"/>
        </w:rPr>
        <w:t>使用补助资金</w:t>
      </w:r>
      <w:r>
        <w:rPr>
          <w:rFonts w:hint="eastAsia" w:ascii="Times New Roman" w:hAnsi="Times New Roman" w:eastAsia="仿宋_GB2312"/>
          <w:sz w:val="32"/>
          <w:szCs w:val="32"/>
        </w:rPr>
        <w:t>1.5</w:t>
      </w:r>
      <w:r>
        <w:rPr>
          <w:rFonts w:hint="eastAsia" w:ascii="仿宋_GB2312" w:hAnsi="Times New Roman" w:eastAsia="仿宋_GB2312"/>
          <w:sz w:val="32"/>
          <w:szCs w:val="32"/>
        </w:rPr>
        <w:t>万元，</w:t>
      </w:r>
      <w:r>
        <w:rPr>
          <w:rFonts w:ascii="仿宋_GB2312" w:hAnsi="Times New Roman" w:eastAsia="仿宋_GB2312"/>
          <w:sz w:val="32"/>
          <w:szCs w:val="32"/>
        </w:rPr>
        <w:t>申报</w:t>
      </w:r>
      <w:r>
        <w:rPr>
          <w:rFonts w:ascii="Times New Roman" w:hAnsi="Times New Roman" w:eastAsia="仿宋_GB2312"/>
          <w:sz w:val="32"/>
          <w:szCs w:val="32"/>
        </w:rPr>
        <w:t>“</w:t>
      </w:r>
      <w:r>
        <w:rPr>
          <w:rFonts w:ascii="仿宋_GB2312" w:hAnsi="Times New Roman" w:eastAsia="仿宋_GB2312"/>
          <w:sz w:val="32"/>
          <w:szCs w:val="32"/>
        </w:rPr>
        <w:t>鄂伦春细鳞鱼</w:t>
      </w:r>
      <w:r>
        <w:rPr>
          <w:rFonts w:ascii="Times New Roman" w:hAnsi="Times New Roman" w:eastAsia="仿宋_GB2312"/>
          <w:sz w:val="32"/>
          <w:szCs w:val="32"/>
        </w:rPr>
        <w:t>”</w:t>
      </w:r>
      <w:r>
        <w:rPr>
          <w:rFonts w:ascii="仿宋_GB2312" w:hAnsi="Times New Roman" w:eastAsia="仿宋_GB2312"/>
          <w:sz w:val="32"/>
          <w:szCs w:val="32"/>
        </w:rPr>
        <w:t>全国名特优新农产品</w:t>
      </w:r>
      <w:r>
        <w:rPr>
          <w:rFonts w:hint="eastAsia" w:ascii="仿宋_GB2312" w:hAnsi="Times New Roman" w:eastAsia="仿宋_GB2312"/>
          <w:sz w:val="32"/>
          <w:szCs w:val="32"/>
          <w:lang w:eastAsia="zh-CN"/>
        </w:rPr>
        <w:t>，</w:t>
      </w:r>
      <w:r>
        <w:rPr>
          <w:rFonts w:ascii="仿宋_GB2312" w:hAnsi="Times New Roman" w:eastAsia="仿宋_GB2312"/>
          <w:sz w:val="32"/>
          <w:szCs w:val="32"/>
        </w:rPr>
        <w:t>科普宣传</w:t>
      </w:r>
      <w:r>
        <w:rPr>
          <w:rFonts w:hint="eastAsia" w:ascii="仿宋_GB2312" w:hAnsi="Times New Roman" w:eastAsia="仿宋_GB2312"/>
          <w:sz w:val="32"/>
          <w:szCs w:val="32"/>
        </w:rPr>
        <w:t>工作</w:t>
      </w:r>
      <w:r>
        <w:rPr>
          <w:rFonts w:ascii="仿宋_GB2312" w:hAnsi="Times New Roman" w:eastAsia="仿宋_GB2312"/>
          <w:sz w:val="32"/>
          <w:szCs w:val="32"/>
        </w:rPr>
        <w:t>。</w:t>
      </w:r>
    </w:p>
    <w:p w14:paraId="3CF59567">
      <w:pPr>
        <w:autoSpaceDE w:val="0"/>
        <w:spacing w:line="560" w:lineRule="exact"/>
        <w:ind w:firstLine="643" w:firstLineChars="200"/>
        <w:rPr>
          <w:rFonts w:ascii="Times New Roman" w:hAnsi="Times New Roman" w:eastAsia="仿宋"/>
          <w:sz w:val="30"/>
          <w:szCs w:val="30"/>
        </w:rPr>
      </w:pPr>
      <w:r>
        <w:rPr>
          <w:rFonts w:hint="eastAsia" w:ascii="楷体_GB2312" w:eastAsia="楷体_GB2312"/>
          <w:b/>
          <w:bCs/>
          <w:sz w:val="32"/>
          <w:szCs w:val="32"/>
        </w:rPr>
        <w:t>（三）加强渔政执法能力建设。</w:t>
      </w:r>
      <w:r>
        <w:rPr>
          <w:rFonts w:ascii="仿宋_GB2312" w:hAnsi="Times New Roman" w:eastAsia="仿宋_GB2312"/>
          <w:sz w:val="32"/>
          <w:szCs w:val="32"/>
        </w:rPr>
        <w:t>增配执法装备</w:t>
      </w:r>
      <w:r>
        <w:rPr>
          <w:rFonts w:hint="eastAsia" w:ascii="仿宋_GB2312" w:hAnsi="Times New Roman" w:eastAsia="仿宋_GB2312"/>
          <w:sz w:val="32"/>
          <w:szCs w:val="32"/>
        </w:rPr>
        <w:t>，</w:t>
      </w:r>
      <w:r>
        <w:rPr>
          <w:rFonts w:ascii="仿宋_GB2312" w:hAnsi="Times New Roman" w:eastAsia="仿宋_GB2312"/>
          <w:sz w:val="32"/>
          <w:szCs w:val="32"/>
        </w:rPr>
        <w:t>适应新时代新形势对渔政执法工作的新要求，加强渔政执法装备建设，利用高科技手段实现创新高效的渔政管理模式，推动建立横向到边、纵向到底的网格化执法监管体系。</w:t>
      </w:r>
      <w:r>
        <w:rPr>
          <w:rFonts w:ascii="仿宋_GB2312" w:hAnsi="Times New Roman" w:eastAsia="仿宋_GB2312"/>
          <w:b/>
          <w:bCs/>
          <w:sz w:val="32"/>
          <w:szCs w:val="32"/>
        </w:rPr>
        <w:t>一是</w:t>
      </w:r>
      <w:r>
        <w:rPr>
          <w:rFonts w:ascii="仿宋_GB2312" w:hAnsi="Times New Roman" w:eastAsia="仿宋_GB2312"/>
          <w:sz w:val="32"/>
          <w:szCs w:val="32"/>
        </w:rPr>
        <w:t>补齐我旗渔政执法装备、禁捕技防水平、应急反应能力等方面存在的短板，进一步提高我旗渔政执法能力和水平，有效保护渔业生态资源</w:t>
      </w:r>
      <w:r>
        <w:rPr>
          <w:rFonts w:hint="eastAsia" w:ascii="仿宋_GB2312" w:hAnsi="Times New Roman" w:eastAsia="仿宋_GB2312"/>
          <w:sz w:val="32"/>
          <w:szCs w:val="32"/>
        </w:rPr>
        <w:t>，使用补助资金</w:t>
      </w:r>
      <w:r>
        <w:rPr>
          <w:rFonts w:hint="eastAsia" w:ascii="Times New Roman" w:hAnsi="Times New Roman" w:eastAsia="仿宋_GB2312"/>
          <w:sz w:val="32"/>
          <w:szCs w:val="32"/>
          <w:lang w:val="en-US" w:eastAsia="zh-CN"/>
        </w:rPr>
        <w:t>4</w:t>
      </w:r>
      <w:r>
        <w:rPr>
          <w:rFonts w:hint="eastAsia" w:ascii="仿宋_GB2312" w:hAnsi="Times New Roman" w:eastAsia="仿宋_GB2312"/>
          <w:sz w:val="32"/>
          <w:szCs w:val="32"/>
        </w:rPr>
        <w:t>万元，</w:t>
      </w:r>
      <w:r>
        <w:rPr>
          <w:rFonts w:ascii="仿宋_GB2312" w:hAnsi="Times New Roman" w:eastAsia="仿宋_GB2312"/>
          <w:sz w:val="32"/>
          <w:szCs w:val="32"/>
        </w:rPr>
        <w:t>购进执法记录仪、强光手电、肩灯、车轮锁、对讲机、喊话器、夜视仪、</w:t>
      </w:r>
      <w:r>
        <w:rPr>
          <w:rFonts w:ascii="Times New Roman" w:hAnsi="Times New Roman" w:eastAsia="仿宋_GB2312"/>
          <w:sz w:val="32"/>
          <w:szCs w:val="32"/>
        </w:rPr>
        <w:t>GPS</w:t>
      </w:r>
      <w:r>
        <w:rPr>
          <w:rFonts w:ascii="仿宋_GB2312" w:hAnsi="Times New Roman" w:eastAsia="仿宋_GB2312"/>
          <w:sz w:val="32"/>
          <w:szCs w:val="32"/>
        </w:rPr>
        <w:t>、手持平板电脑、智能红外光电摄像仪、人员警戒雷达</w:t>
      </w:r>
      <w:r>
        <w:rPr>
          <w:rFonts w:hint="eastAsia" w:ascii="仿宋_GB2312" w:hAnsi="Times New Roman" w:eastAsia="仿宋_GB2312"/>
          <w:sz w:val="32"/>
          <w:szCs w:val="32"/>
        </w:rPr>
        <w:t>等设备</w:t>
      </w:r>
      <w:r>
        <w:rPr>
          <w:rFonts w:ascii="仿宋_GB2312" w:hAnsi="Times New Roman" w:eastAsia="仿宋_GB2312"/>
          <w:sz w:val="32"/>
          <w:szCs w:val="32"/>
        </w:rPr>
        <w:t>。</w:t>
      </w:r>
      <w:r>
        <w:rPr>
          <w:rFonts w:ascii="仿宋_GB2312" w:hAnsi="Times New Roman" w:eastAsia="仿宋_GB2312"/>
          <w:b/>
          <w:bCs/>
          <w:sz w:val="32"/>
          <w:szCs w:val="32"/>
        </w:rPr>
        <w:t>二是</w:t>
      </w:r>
      <w:r>
        <w:rPr>
          <w:rFonts w:ascii="仿宋_GB2312" w:hAnsi="Times New Roman" w:eastAsia="仿宋_GB2312"/>
          <w:sz w:val="32"/>
          <w:szCs w:val="32"/>
        </w:rPr>
        <w:t>加强执法监管，</w:t>
      </w:r>
      <w:r>
        <w:rPr>
          <w:rFonts w:hint="eastAsia" w:ascii="仿宋_GB2312" w:hAnsi="Times New Roman" w:eastAsia="仿宋_GB2312"/>
          <w:sz w:val="32"/>
          <w:szCs w:val="32"/>
        </w:rPr>
        <w:t>使用补助资金</w:t>
      </w:r>
      <w:r>
        <w:rPr>
          <w:rFonts w:hint="eastAsia" w:ascii="Times New Roman" w:hAnsi="Times New Roman" w:eastAsia="仿宋_GB2312"/>
          <w:sz w:val="32"/>
          <w:szCs w:val="32"/>
        </w:rPr>
        <w:t>1</w:t>
      </w:r>
      <w:r>
        <w:rPr>
          <w:rFonts w:hint="eastAsia" w:ascii="仿宋_GB2312" w:hAnsi="Times New Roman" w:eastAsia="仿宋_GB2312"/>
          <w:sz w:val="32"/>
          <w:szCs w:val="32"/>
        </w:rPr>
        <w:t>万元，助推开展</w:t>
      </w:r>
      <w:r>
        <w:rPr>
          <w:rFonts w:ascii="仿宋_GB2312" w:hAnsi="Times New Roman" w:eastAsia="仿宋_GB2312"/>
          <w:sz w:val="32"/>
          <w:szCs w:val="32"/>
        </w:rPr>
        <w:t>渔业水域和沿途河道巡查清理，打击各类涉渔违法违规行为。</w:t>
      </w:r>
      <w:r>
        <w:rPr>
          <w:rFonts w:ascii="仿宋_GB2312" w:hAnsi="Times New Roman" w:eastAsia="仿宋_GB2312"/>
          <w:b/>
          <w:bCs/>
          <w:sz w:val="32"/>
          <w:szCs w:val="32"/>
        </w:rPr>
        <w:t>三是</w:t>
      </w:r>
      <w:r>
        <w:rPr>
          <w:rFonts w:ascii="仿宋_GB2312" w:hAnsi="Times New Roman" w:eastAsia="仿宋_GB2312"/>
          <w:sz w:val="32"/>
          <w:szCs w:val="32"/>
        </w:rPr>
        <w:t>加大渔政宣传力度，深入贯彻《中华人民共和国渔业法》，严厉打击电鱼、炸鱼、毒鱼及禁渔期等非法捕捞破坏渔业资源的行为，有效保护旗境内渔业资源，执法大队执法人员通过宣传增强广大群众、渔民的法律意识。</w:t>
      </w:r>
      <w:r>
        <w:rPr>
          <w:rFonts w:hint="eastAsia" w:ascii="仿宋_GB2312" w:hAnsi="Times New Roman" w:eastAsia="仿宋_GB2312"/>
          <w:sz w:val="32"/>
          <w:szCs w:val="32"/>
        </w:rPr>
        <w:t>使用补助资金</w:t>
      </w:r>
      <w:r>
        <w:rPr>
          <w:rFonts w:hint="eastAsia" w:ascii="Times New Roman" w:hAnsi="Times New Roman" w:eastAsia="仿宋_GB2312"/>
          <w:sz w:val="32"/>
          <w:szCs w:val="32"/>
        </w:rPr>
        <w:t>1</w:t>
      </w:r>
      <w:r>
        <w:rPr>
          <w:rFonts w:hint="eastAsia" w:ascii="仿宋_GB2312" w:hAnsi="Times New Roman" w:eastAsia="仿宋_GB2312"/>
          <w:sz w:val="32"/>
          <w:szCs w:val="32"/>
        </w:rPr>
        <w:t>万元用于</w:t>
      </w:r>
      <w:r>
        <w:rPr>
          <w:rFonts w:ascii="仿宋_GB2312" w:hAnsi="Times New Roman" w:eastAsia="仿宋_GB2312"/>
          <w:sz w:val="32"/>
          <w:szCs w:val="32"/>
        </w:rPr>
        <w:t>宣传单印发、条幅悬挂、</w:t>
      </w:r>
      <w:r>
        <w:rPr>
          <w:rFonts w:ascii="Times New Roman" w:hAnsi="Times New Roman" w:eastAsia="仿宋_GB2312"/>
          <w:sz w:val="32"/>
          <w:szCs w:val="32"/>
        </w:rPr>
        <w:t>“</w:t>
      </w:r>
      <w:r>
        <w:rPr>
          <w:rFonts w:ascii="仿宋_GB2312" w:hAnsi="Times New Roman" w:eastAsia="仿宋_GB2312"/>
          <w:sz w:val="32"/>
          <w:szCs w:val="32"/>
        </w:rPr>
        <w:t>禁渔通告</w:t>
      </w:r>
      <w:r>
        <w:rPr>
          <w:rFonts w:ascii="Times New Roman" w:hAnsi="Times New Roman" w:eastAsia="仿宋_GB2312"/>
          <w:sz w:val="32"/>
          <w:szCs w:val="32"/>
        </w:rPr>
        <w:t>”</w:t>
      </w:r>
      <w:r>
        <w:rPr>
          <w:rFonts w:ascii="仿宋_GB2312" w:hAnsi="Times New Roman" w:eastAsia="仿宋_GB2312"/>
          <w:sz w:val="32"/>
          <w:szCs w:val="32"/>
        </w:rPr>
        <w:t>张贴等宣传</w:t>
      </w:r>
      <w:r>
        <w:rPr>
          <w:rFonts w:hint="eastAsia" w:ascii="仿宋_GB2312" w:hAnsi="Times New Roman" w:eastAsia="仿宋_GB2312"/>
          <w:sz w:val="32"/>
          <w:szCs w:val="32"/>
        </w:rPr>
        <w:t>工作</w:t>
      </w:r>
      <w:r>
        <w:rPr>
          <w:rFonts w:ascii="仿宋_GB2312" w:hAnsi="Times New Roman" w:eastAsia="仿宋_GB2312"/>
          <w:sz w:val="32"/>
          <w:szCs w:val="32"/>
        </w:rPr>
        <w:t>。</w:t>
      </w:r>
      <w:r>
        <w:rPr>
          <w:rFonts w:ascii="仿宋_GB2312" w:hAnsi="Times New Roman" w:eastAsia="仿宋_GB2312"/>
          <w:b/>
          <w:bCs/>
          <w:sz w:val="32"/>
          <w:szCs w:val="32"/>
        </w:rPr>
        <w:t>四是</w:t>
      </w:r>
      <w:r>
        <w:rPr>
          <w:rFonts w:ascii="仿宋_GB2312" w:hAnsi="Times New Roman" w:eastAsia="仿宋_GB2312"/>
          <w:sz w:val="32"/>
          <w:szCs w:val="32"/>
        </w:rPr>
        <w:t>加强渔政执法人员培训，新时代新形式下执法设备随着科技不断更新，给执法人员工作带来很大的帮助和便捷。</w:t>
      </w:r>
      <w:r>
        <w:rPr>
          <w:rFonts w:hint="eastAsia" w:ascii="仿宋_GB2312" w:hAnsi="Times New Roman" w:eastAsia="仿宋_GB2312"/>
          <w:sz w:val="32"/>
          <w:szCs w:val="32"/>
        </w:rPr>
        <w:t>鄂伦春自治旗农牧业综合行政</w:t>
      </w:r>
      <w:r>
        <w:rPr>
          <w:rFonts w:ascii="仿宋_GB2312" w:hAnsi="Times New Roman" w:eastAsia="仿宋_GB2312"/>
          <w:sz w:val="32"/>
          <w:szCs w:val="32"/>
        </w:rPr>
        <w:t>执法大队现有无人机</w:t>
      </w:r>
      <w:r>
        <w:rPr>
          <w:rFonts w:hint="eastAsia" w:ascii="Times New Roman" w:hAnsi="Times New Roman" w:eastAsia="仿宋_GB2312"/>
          <w:sz w:val="32"/>
          <w:szCs w:val="32"/>
        </w:rPr>
        <w:t>1</w:t>
      </w:r>
      <w:r>
        <w:rPr>
          <w:rFonts w:ascii="仿宋_GB2312" w:hAnsi="Times New Roman" w:eastAsia="仿宋_GB2312"/>
          <w:sz w:val="32"/>
          <w:szCs w:val="32"/>
        </w:rPr>
        <w:t>台，但</w:t>
      </w:r>
      <w:r>
        <w:rPr>
          <w:rFonts w:hint="eastAsia" w:ascii="仿宋_GB2312" w:hAnsi="Times New Roman" w:eastAsia="仿宋_GB2312"/>
          <w:sz w:val="32"/>
          <w:szCs w:val="32"/>
        </w:rPr>
        <w:t>缺少</w:t>
      </w:r>
      <w:r>
        <w:rPr>
          <w:rFonts w:ascii="仿宋_GB2312" w:hAnsi="Times New Roman" w:eastAsia="仿宋_GB2312"/>
          <w:sz w:val="32"/>
          <w:szCs w:val="32"/>
        </w:rPr>
        <w:t>无人机操作驾驶资质</w:t>
      </w:r>
      <w:r>
        <w:rPr>
          <w:rFonts w:hint="eastAsia" w:ascii="仿宋_GB2312" w:hAnsi="Times New Roman" w:eastAsia="仿宋_GB2312"/>
          <w:sz w:val="32"/>
          <w:szCs w:val="32"/>
        </w:rPr>
        <w:t>人员。使用补助资金</w:t>
      </w:r>
      <w:r>
        <w:rPr>
          <w:rFonts w:hint="eastAsia" w:ascii="Times New Roman" w:hAnsi="Times New Roman" w:eastAsia="仿宋_GB2312"/>
          <w:sz w:val="32"/>
          <w:szCs w:val="32"/>
        </w:rPr>
        <w:t>1</w:t>
      </w:r>
      <w:r>
        <w:rPr>
          <w:rFonts w:hint="eastAsia" w:ascii="仿宋_GB2312" w:hAnsi="Times New Roman" w:eastAsia="仿宋_GB2312"/>
          <w:sz w:val="32"/>
          <w:szCs w:val="32"/>
        </w:rPr>
        <w:t>万元，用于</w:t>
      </w:r>
      <w:r>
        <w:rPr>
          <w:rFonts w:ascii="仿宋_GB2312" w:hAnsi="Times New Roman" w:eastAsia="仿宋_GB2312"/>
          <w:sz w:val="32"/>
          <w:szCs w:val="32"/>
        </w:rPr>
        <w:t>无人机</w:t>
      </w:r>
      <w:r>
        <w:rPr>
          <w:rFonts w:hint="eastAsia" w:ascii="仿宋_GB2312" w:hAnsi="Times New Roman" w:eastAsia="仿宋_GB2312"/>
          <w:sz w:val="32"/>
          <w:szCs w:val="32"/>
        </w:rPr>
        <w:t>驾驶人员</w:t>
      </w:r>
      <w:r>
        <w:rPr>
          <w:rFonts w:ascii="仿宋_GB2312" w:hAnsi="Times New Roman" w:eastAsia="仿宋_GB2312"/>
          <w:sz w:val="32"/>
          <w:szCs w:val="32"/>
        </w:rPr>
        <w:t>培训、渔政执法人员专项培训。</w:t>
      </w:r>
    </w:p>
    <w:p w14:paraId="460F8B29">
      <w:pPr>
        <w:widowControl/>
        <w:adjustRightInd w:val="0"/>
        <w:snapToGrid w:val="0"/>
        <w:spacing w:line="600" w:lineRule="exact"/>
        <w:ind w:firstLine="640" w:firstLineChars="200"/>
        <w:rPr>
          <w:rFonts w:hint="eastAsia" w:ascii="黑体" w:hAnsi="黑体" w:eastAsia="黑体" w:cs="黑体"/>
          <w:color w:val="auto"/>
          <w:sz w:val="32"/>
          <w:szCs w:val="32"/>
        </w:rPr>
      </w:pPr>
      <w:r>
        <w:rPr>
          <w:rFonts w:hint="eastAsia" w:ascii="黑体" w:hAnsi="黑体" w:eastAsia="黑体" w:cs="黑体"/>
          <w:sz w:val="32"/>
          <w:szCs w:val="32"/>
          <w:lang w:val="en-US" w:eastAsia="zh-CN"/>
        </w:rPr>
        <w:t>五</w:t>
      </w:r>
      <w:r>
        <w:rPr>
          <w:rFonts w:hint="eastAsia" w:ascii="黑体" w:hAnsi="黑体" w:eastAsia="黑体" w:cs="黑体"/>
          <w:sz w:val="32"/>
          <w:szCs w:val="32"/>
        </w:rPr>
        <w:t>、</w:t>
      </w:r>
      <w:r>
        <w:rPr>
          <w:rFonts w:hint="eastAsia" w:ascii="黑体" w:hAnsi="黑体" w:eastAsia="黑体" w:cs="黑体"/>
          <w:color w:val="auto"/>
          <w:sz w:val="32"/>
          <w:szCs w:val="32"/>
        </w:rPr>
        <w:t>工作进度安排</w:t>
      </w:r>
    </w:p>
    <w:p w14:paraId="73E05843">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lang w:val="en-US" w:eastAsia="zh-CN"/>
        </w:rPr>
        <w:t>2025年3</w:t>
      </w:r>
      <w:r>
        <w:rPr>
          <w:rFonts w:hint="eastAsia" w:ascii="仿宋" w:hAnsi="仿宋" w:eastAsia="仿宋" w:cs="仿宋"/>
          <w:color w:val="auto"/>
          <w:sz w:val="32"/>
          <w:szCs w:val="32"/>
        </w:rPr>
        <w:t>月，</w:t>
      </w:r>
      <w:r>
        <w:rPr>
          <w:rFonts w:hint="eastAsia" w:ascii="仿宋" w:hAnsi="仿宋" w:eastAsia="仿宋" w:cs="仿宋"/>
          <w:color w:val="auto"/>
          <w:sz w:val="32"/>
          <w:szCs w:val="32"/>
          <w:lang w:val="en-US" w:eastAsia="zh-CN"/>
        </w:rPr>
        <w:t>调整</w:t>
      </w:r>
      <w:r>
        <w:rPr>
          <w:rFonts w:hint="eastAsia" w:ascii="仿宋" w:hAnsi="仿宋" w:eastAsia="仿宋" w:cs="仿宋"/>
          <w:color w:val="auto"/>
          <w:sz w:val="32"/>
          <w:szCs w:val="32"/>
        </w:rPr>
        <w:t>实施方案</w:t>
      </w:r>
      <w:r>
        <w:rPr>
          <w:rFonts w:hint="eastAsia" w:ascii="仿宋" w:hAnsi="仿宋" w:eastAsia="仿宋" w:cs="仿宋"/>
          <w:color w:val="auto"/>
          <w:sz w:val="32"/>
          <w:szCs w:val="32"/>
          <w:lang w:eastAsia="zh-CN"/>
        </w:rPr>
        <w:t>。</w:t>
      </w:r>
    </w:p>
    <w:p w14:paraId="5E4E8650">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2025年3-5月，宣传筹备</w:t>
      </w:r>
      <w:r>
        <w:rPr>
          <w:rFonts w:hint="eastAsia" w:ascii="仿宋" w:hAnsi="仿宋" w:eastAsia="仿宋" w:cs="仿宋"/>
          <w:color w:val="auto"/>
          <w:sz w:val="32"/>
          <w:szCs w:val="32"/>
        </w:rPr>
        <w:t>。</w:t>
      </w:r>
    </w:p>
    <w:p w14:paraId="45A6A245">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2025年4</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10</w:t>
      </w:r>
      <w:r>
        <w:rPr>
          <w:rFonts w:hint="eastAsia" w:ascii="仿宋" w:hAnsi="仿宋" w:eastAsia="仿宋" w:cs="仿宋"/>
          <w:color w:val="auto"/>
          <w:sz w:val="32"/>
          <w:szCs w:val="32"/>
        </w:rPr>
        <w:t>月，</w:t>
      </w:r>
      <w:r>
        <w:rPr>
          <w:rFonts w:hint="eastAsia" w:ascii="仿宋" w:hAnsi="仿宋" w:eastAsia="仿宋" w:cs="仿宋"/>
          <w:color w:val="auto"/>
          <w:sz w:val="32"/>
          <w:szCs w:val="32"/>
          <w:lang w:val="en-US" w:eastAsia="zh-CN"/>
        </w:rPr>
        <w:t>购置设备、检验检测、投放鱼苗、执法巡查、指导培训</w:t>
      </w:r>
      <w:r>
        <w:rPr>
          <w:rFonts w:hint="eastAsia" w:ascii="仿宋" w:hAnsi="仿宋" w:eastAsia="仿宋" w:cs="仿宋"/>
          <w:color w:val="auto"/>
          <w:sz w:val="32"/>
          <w:szCs w:val="32"/>
        </w:rPr>
        <w:t>。</w:t>
      </w:r>
    </w:p>
    <w:p w14:paraId="435EE67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2025年</w:t>
      </w:r>
      <w:r>
        <w:rPr>
          <w:rFonts w:hint="eastAsia" w:ascii="仿宋" w:hAnsi="仿宋" w:eastAsia="仿宋" w:cs="仿宋"/>
          <w:color w:val="auto"/>
          <w:sz w:val="32"/>
          <w:szCs w:val="32"/>
        </w:rPr>
        <w:t>11月份，做好项目总结</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宣传工作。</w:t>
      </w:r>
    </w:p>
    <w:p w14:paraId="67E67B6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val="en-US" w:eastAsia="zh-CN"/>
        </w:rPr>
        <w:t>六、工作</w:t>
      </w:r>
      <w:r>
        <w:rPr>
          <w:rFonts w:hint="eastAsia" w:ascii="黑体" w:hAnsi="黑体" w:eastAsia="黑体" w:cs="黑体"/>
          <w:color w:val="auto"/>
          <w:sz w:val="32"/>
          <w:szCs w:val="32"/>
        </w:rPr>
        <w:t>要求</w:t>
      </w:r>
    </w:p>
    <w:p w14:paraId="59B7F98A">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rPr>
      </w:pPr>
      <w:bookmarkStart w:id="0" w:name="bookmark13"/>
      <w:r>
        <w:rPr>
          <w:rFonts w:hint="eastAsia" w:ascii="楷体_GB2312" w:hAnsi="楷体_GB2312" w:eastAsia="楷体_GB2312" w:cs="楷体_GB2312"/>
          <w:b/>
          <w:bCs/>
          <w:color w:val="auto"/>
          <w:sz w:val="32"/>
          <w:szCs w:val="32"/>
        </w:rPr>
        <w:t>（</w:t>
      </w:r>
      <w:bookmarkEnd w:id="0"/>
      <w:r>
        <w:rPr>
          <w:rFonts w:hint="eastAsia" w:ascii="楷体_GB2312" w:hAnsi="楷体_GB2312" w:eastAsia="楷体_GB2312" w:cs="楷体_GB2312"/>
          <w:b/>
          <w:bCs/>
          <w:color w:val="auto"/>
          <w:sz w:val="32"/>
          <w:szCs w:val="32"/>
        </w:rPr>
        <w:t>一）加强组织领导，落实工作责任。</w:t>
      </w:r>
      <w:r>
        <w:rPr>
          <w:rFonts w:hint="eastAsia" w:ascii="仿宋" w:hAnsi="仿宋" w:eastAsia="仿宋" w:cs="仿宋"/>
          <w:color w:val="auto"/>
          <w:sz w:val="32"/>
          <w:szCs w:val="32"/>
        </w:rPr>
        <w:t>成立由</w:t>
      </w:r>
      <w:r>
        <w:rPr>
          <w:rFonts w:hint="eastAsia" w:ascii="仿宋" w:hAnsi="仿宋" w:eastAsia="仿宋" w:cs="仿宋"/>
          <w:color w:val="auto"/>
          <w:sz w:val="32"/>
          <w:szCs w:val="32"/>
          <w:lang w:eastAsia="zh-CN"/>
        </w:rPr>
        <w:t>旗农牧水利科技局</w:t>
      </w:r>
      <w:r>
        <w:rPr>
          <w:rFonts w:hint="eastAsia" w:ascii="仿宋" w:hAnsi="仿宋" w:eastAsia="仿宋" w:cs="仿宋"/>
          <w:color w:val="auto"/>
          <w:sz w:val="32"/>
          <w:szCs w:val="32"/>
          <w:lang w:val="en-US" w:eastAsia="zh-CN"/>
        </w:rPr>
        <w:t>党组书记</w:t>
      </w:r>
      <w:r>
        <w:rPr>
          <w:rFonts w:hint="eastAsia" w:ascii="仿宋" w:hAnsi="仿宋" w:eastAsia="仿宋" w:cs="仿宋"/>
          <w:color w:val="auto"/>
          <w:sz w:val="32"/>
          <w:szCs w:val="32"/>
        </w:rPr>
        <w:t>牵头任组长</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旗农牧水利科技局、财政局分管副局长任副组长，各项目实施单位负责人为成员</w:t>
      </w:r>
      <w:r>
        <w:rPr>
          <w:rFonts w:hint="eastAsia" w:ascii="仿宋" w:hAnsi="仿宋" w:eastAsia="仿宋" w:cs="仿宋"/>
          <w:color w:val="auto"/>
          <w:sz w:val="32"/>
          <w:szCs w:val="32"/>
          <w:lang w:eastAsia="zh-CN"/>
        </w:rPr>
        <w:t>组成</w:t>
      </w:r>
      <w:r>
        <w:rPr>
          <w:rFonts w:hint="eastAsia" w:ascii="仿宋" w:hAnsi="仿宋" w:eastAsia="仿宋" w:cs="仿宋"/>
          <w:color w:val="auto"/>
          <w:sz w:val="32"/>
          <w:szCs w:val="32"/>
        </w:rPr>
        <w:t>的</w:t>
      </w:r>
      <w:r>
        <w:rPr>
          <w:rFonts w:hint="eastAsia" w:ascii="仿宋" w:hAnsi="仿宋" w:eastAsia="仿宋" w:cs="仿宋"/>
          <w:color w:val="auto"/>
          <w:sz w:val="32"/>
          <w:szCs w:val="32"/>
          <w:lang w:val="en-US" w:eastAsia="zh-CN"/>
        </w:rPr>
        <w:t>领导小组</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领导小组</w:t>
      </w:r>
      <w:r>
        <w:rPr>
          <w:rFonts w:hint="eastAsia" w:ascii="仿宋" w:hAnsi="仿宋" w:eastAsia="仿宋" w:cs="仿宋"/>
          <w:color w:val="auto"/>
          <w:sz w:val="32"/>
          <w:szCs w:val="32"/>
        </w:rPr>
        <w:t>办公室设在</w:t>
      </w:r>
      <w:r>
        <w:rPr>
          <w:rFonts w:hint="eastAsia" w:ascii="仿宋" w:hAnsi="仿宋" w:eastAsia="仿宋" w:cs="仿宋"/>
          <w:color w:val="auto"/>
          <w:sz w:val="32"/>
          <w:szCs w:val="32"/>
          <w:lang w:val="en-US" w:eastAsia="zh-CN"/>
        </w:rPr>
        <w:t>旗农牧科技事业发展中心</w:t>
      </w:r>
      <w:r>
        <w:rPr>
          <w:rFonts w:hint="eastAsia" w:ascii="仿宋" w:hAnsi="仿宋" w:eastAsia="仿宋" w:cs="仿宋"/>
          <w:color w:val="auto"/>
          <w:sz w:val="32"/>
          <w:szCs w:val="32"/>
        </w:rPr>
        <w:t>，具体负责</w:t>
      </w:r>
      <w:r>
        <w:rPr>
          <w:rFonts w:hint="eastAsia" w:ascii="仿宋" w:hAnsi="仿宋" w:eastAsia="仿宋" w:cs="仿宋"/>
          <w:color w:val="auto"/>
          <w:sz w:val="32"/>
          <w:szCs w:val="32"/>
          <w:lang w:val="en-US" w:eastAsia="zh-CN"/>
        </w:rPr>
        <w:t>各项任务</w:t>
      </w:r>
      <w:r>
        <w:rPr>
          <w:rFonts w:hint="eastAsia" w:ascii="仿宋" w:hAnsi="仿宋" w:eastAsia="仿宋" w:cs="仿宋"/>
          <w:color w:val="auto"/>
          <w:sz w:val="32"/>
          <w:szCs w:val="32"/>
        </w:rPr>
        <w:t>的安排落实、方案制定、组织联络、调度检查等工作。</w:t>
      </w:r>
      <w:r>
        <w:rPr>
          <w:rFonts w:hint="eastAsia" w:ascii="仿宋_GB2312" w:hAnsi="仿宋_GB2312" w:eastAsia="仿宋_GB2312" w:cs="仿宋_GB2312"/>
          <w:color w:val="auto"/>
          <w:sz w:val="32"/>
          <w:szCs w:val="32"/>
        </w:rPr>
        <w:t>各</w:t>
      </w:r>
      <w:r>
        <w:rPr>
          <w:rFonts w:hint="eastAsia" w:ascii="仿宋_GB2312" w:hAnsi="仿宋_GB2312" w:eastAsia="仿宋_GB2312" w:cs="仿宋_GB2312"/>
          <w:color w:val="auto"/>
          <w:sz w:val="32"/>
          <w:szCs w:val="32"/>
          <w:lang w:val="en-US" w:eastAsia="zh-CN"/>
        </w:rPr>
        <w:t>项目实施单位</w:t>
      </w:r>
      <w:r>
        <w:rPr>
          <w:rFonts w:hint="eastAsia" w:ascii="仿宋_GB2312" w:hAnsi="仿宋_GB2312" w:eastAsia="仿宋_GB2312" w:cs="仿宋_GB2312"/>
          <w:color w:val="auto"/>
          <w:sz w:val="32"/>
          <w:szCs w:val="32"/>
        </w:rPr>
        <w:t>要从讲政治的高度，切实贯彻好、实施好、宣传好渔业</w:t>
      </w:r>
      <w:r>
        <w:rPr>
          <w:rFonts w:hint="eastAsia" w:ascii="仿宋_GB2312" w:hAnsi="仿宋_GB2312" w:eastAsia="仿宋_GB2312" w:cs="仿宋_GB2312"/>
          <w:sz w:val="32"/>
          <w:szCs w:val="32"/>
        </w:rPr>
        <w:t>发展相关支持政策，确保稳妥有序推进，确保渔区社会稳定。</w:t>
      </w:r>
    </w:p>
    <w:p w14:paraId="62E533DE">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rPr>
      </w:pPr>
      <w:bookmarkStart w:id="1" w:name="bookmark14"/>
      <w:r>
        <w:rPr>
          <w:rFonts w:hint="eastAsia" w:ascii="楷体_GB2312" w:hAnsi="楷体_GB2312" w:eastAsia="楷体_GB2312" w:cs="楷体_GB2312"/>
          <w:b/>
          <w:bCs/>
          <w:sz w:val="32"/>
          <w:szCs w:val="32"/>
        </w:rPr>
        <w:t>（</w:t>
      </w:r>
      <w:bookmarkEnd w:id="1"/>
      <w:r>
        <w:rPr>
          <w:rFonts w:hint="eastAsia" w:ascii="楷体_GB2312" w:hAnsi="楷体_GB2312" w:eastAsia="楷体_GB2312" w:cs="楷体_GB2312"/>
          <w:b/>
          <w:bCs/>
          <w:sz w:val="32"/>
          <w:szCs w:val="32"/>
        </w:rPr>
        <w:t>二）加强资金管理，确保年度绩效目标如期实现。</w:t>
      </w:r>
      <w:r>
        <w:rPr>
          <w:rFonts w:hint="eastAsia" w:ascii="仿宋_GB2312" w:hAnsi="仿宋_GB2312" w:eastAsia="仿宋_GB2312" w:cs="仿宋_GB2312"/>
          <w:sz w:val="32"/>
          <w:szCs w:val="32"/>
        </w:rPr>
        <w:t>建立资金使用台账制度，加强资金监管，严格资金使用范围，做到专款专用，严禁截留、挪用和超范围支出，切实提高财政资金使用效益，保证财政资金安全有效，确保年度绩效目标如期实现。</w:t>
      </w:r>
    </w:p>
    <w:p w14:paraId="5561D5C3">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 w:cs="仿宋_GB2312"/>
          <w:sz w:val="32"/>
          <w:szCs w:val="32"/>
          <w:lang w:eastAsia="zh-CN"/>
        </w:rPr>
      </w:pPr>
      <w:bookmarkStart w:id="2" w:name="bookmark15"/>
      <w:r>
        <w:rPr>
          <w:rFonts w:hint="eastAsia" w:ascii="楷体_GB2312" w:hAnsi="楷体_GB2312" w:eastAsia="楷体_GB2312" w:cs="楷体_GB2312"/>
          <w:b/>
          <w:bCs/>
          <w:sz w:val="32"/>
          <w:szCs w:val="32"/>
        </w:rPr>
        <w:t>（</w:t>
      </w:r>
      <w:bookmarkEnd w:id="2"/>
      <w:r>
        <w:rPr>
          <w:rFonts w:hint="eastAsia" w:ascii="楷体_GB2312" w:hAnsi="楷体_GB2312" w:eastAsia="楷体_GB2312" w:cs="楷体_GB2312"/>
          <w:b/>
          <w:bCs/>
          <w:sz w:val="32"/>
          <w:szCs w:val="32"/>
        </w:rPr>
        <w:t>三）加强监督检查，强化目标考核。</w:t>
      </w:r>
      <w:r>
        <w:rPr>
          <w:rFonts w:hint="eastAsia" w:ascii="仿宋_GB2312" w:hAnsi="仿宋_GB2312" w:eastAsia="仿宋_GB2312" w:cs="仿宋_GB2312"/>
          <w:sz w:val="32"/>
          <w:szCs w:val="32"/>
          <w:lang w:val="en-US" w:eastAsia="zh-CN"/>
        </w:rPr>
        <w:t>旗农牧水利科技局</w:t>
      </w:r>
      <w:r>
        <w:rPr>
          <w:rFonts w:hint="eastAsia" w:ascii="仿宋_GB2312" w:hAnsi="仿宋_GB2312" w:eastAsia="仿宋_GB2312" w:cs="仿宋_GB2312"/>
          <w:sz w:val="32"/>
          <w:szCs w:val="32"/>
        </w:rPr>
        <w:t>与财政</w:t>
      </w:r>
      <w:r>
        <w:rPr>
          <w:rFonts w:hint="eastAsia" w:ascii="仿宋_GB2312" w:hAnsi="仿宋_GB2312" w:eastAsia="仿宋_GB2312" w:cs="仿宋_GB2312"/>
          <w:sz w:val="32"/>
          <w:szCs w:val="32"/>
          <w:lang w:val="en-US" w:eastAsia="zh-CN"/>
        </w:rPr>
        <w:t>局</w:t>
      </w:r>
      <w:r>
        <w:rPr>
          <w:rFonts w:hint="eastAsia" w:ascii="仿宋_GB2312" w:hAnsi="仿宋_GB2312" w:eastAsia="仿宋_GB2312" w:cs="仿宋_GB2312"/>
          <w:sz w:val="32"/>
          <w:szCs w:val="32"/>
        </w:rPr>
        <w:t>将加强对渔业发展支持政策实施工作的分类指导和监督检查，把各</w:t>
      </w:r>
      <w:r>
        <w:rPr>
          <w:rFonts w:hint="eastAsia" w:ascii="仿宋_GB2312" w:hAnsi="仿宋_GB2312" w:eastAsia="仿宋_GB2312" w:cs="仿宋_GB2312"/>
          <w:sz w:val="32"/>
          <w:szCs w:val="32"/>
          <w:lang w:val="en-US" w:eastAsia="zh-CN"/>
        </w:rPr>
        <w:t>项目单位</w:t>
      </w:r>
      <w:r>
        <w:rPr>
          <w:rFonts w:hint="eastAsia" w:ascii="仿宋_GB2312" w:hAnsi="仿宋_GB2312" w:eastAsia="仿宋_GB2312" w:cs="仿宋_GB2312"/>
          <w:sz w:val="32"/>
          <w:szCs w:val="32"/>
        </w:rPr>
        <w:t>实施方案明确的目标任务作为监督考核的重要依据；</w:t>
      </w:r>
      <w:r>
        <w:rPr>
          <w:rFonts w:hint="eastAsia" w:ascii="仿宋" w:hAnsi="仿宋" w:eastAsia="仿宋" w:cs="仿宋"/>
          <w:sz w:val="32"/>
          <w:szCs w:val="32"/>
        </w:rPr>
        <w:t>要建立健全工作档案，及时将有关的文件、方案、</w:t>
      </w:r>
      <w:r>
        <w:rPr>
          <w:rFonts w:hint="eastAsia" w:ascii="仿宋" w:hAnsi="仿宋" w:eastAsia="仿宋" w:cs="仿宋"/>
          <w:sz w:val="32"/>
          <w:szCs w:val="32"/>
          <w:lang w:val="en-US" w:eastAsia="zh-CN"/>
        </w:rPr>
        <w:t>工作进度</w:t>
      </w:r>
      <w:r>
        <w:rPr>
          <w:rFonts w:hint="eastAsia" w:ascii="仿宋" w:hAnsi="仿宋" w:eastAsia="仿宋" w:cs="仿宋"/>
          <w:sz w:val="32"/>
          <w:szCs w:val="32"/>
          <w:lang w:eastAsia="zh-CN"/>
        </w:rPr>
        <w:t>、</w:t>
      </w:r>
      <w:r>
        <w:rPr>
          <w:rFonts w:hint="eastAsia" w:ascii="仿宋" w:hAnsi="仿宋" w:eastAsia="仿宋" w:cs="仿宋"/>
          <w:sz w:val="32"/>
          <w:szCs w:val="32"/>
        </w:rPr>
        <w:t>工作总结</w:t>
      </w:r>
      <w:r>
        <w:rPr>
          <w:rFonts w:hint="eastAsia" w:ascii="仿宋" w:hAnsi="仿宋" w:eastAsia="仿宋" w:cs="仿宋"/>
          <w:sz w:val="32"/>
          <w:szCs w:val="32"/>
          <w:lang w:eastAsia="zh-CN"/>
        </w:rPr>
        <w:t>和</w:t>
      </w:r>
      <w:r>
        <w:rPr>
          <w:rFonts w:hint="eastAsia" w:ascii="仿宋" w:hAnsi="仿宋" w:eastAsia="仿宋" w:cs="仿宋"/>
          <w:sz w:val="32"/>
          <w:szCs w:val="32"/>
        </w:rPr>
        <w:t>影像资料等归档立案，以备查阅</w:t>
      </w:r>
      <w:r>
        <w:rPr>
          <w:rFonts w:hint="eastAsia" w:ascii="仿宋" w:hAnsi="仿宋" w:eastAsia="仿宋" w:cs="仿宋"/>
          <w:sz w:val="32"/>
          <w:szCs w:val="32"/>
          <w:lang w:eastAsia="zh-CN"/>
        </w:rPr>
        <w:t>。</w:t>
      </w:r>
    </w:p>
    <w:p w14:paraId="16A8BDA5">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sz w:val="32"/>
          <w:szCs w:val="32"/>
        </w:rPr>
      </w:pPr>
      <w:bookmarkStart w:id="3" w:name="bookmark16"/>
      <w:r>
        <w:rPr>
          <w:rFonts w:hint="eastAsia" w:ascii="楷体_GB2312" w:hAnsi="楷体_GB2312" w:eastAsia="楷体_GB2312" w:cs="楷体_GB2312"/>
          <w:b/>
          <w:bCs/>
          <w:sz w:val="32"/>
          <w:szCs w:val="32"/>
        </w:rPr>
        <w:t>（</w:t>
      </w:r>
      <w:bookmarkEnd w:id="3"/>
      <w:r>
        <w:rPr>
          <w:rFonts w:hint="eastAsia" w:ascii="楷体_GB2312" w:hAnsi="楷体_GB2312" w:eastAsia="楷体_GB2312" w:cs="楷体_GB2312"/>
          <w:b/>
          <w:bCs/>
          <w:sz w:val="32"/>
          <w:szCs w:val="32"/>
        </w:rPr>
        <w:t>四）加强宣传引导，营造良好氛围。</w:t>
      </w:r>
      <w:r>
        <w:rPr>
          <w:rFonts w:hint="eastAsia" w:ascii="仿宋_GB2312" w:hAnsi="仿宋_GB2312" w:eastAsia="仿宋_GB2312" w:cs="仿宋_GB2312"/>
          <w:sz w:val="32"/>
          <w:szCs w:val="32"/>
        </w:rPr>
        <w:t>各</w:t>
      </w:r>
      <w:r>
        <w:rPr>
          <w:rFonts w:hint="eastAsia" w:ascii="仿宋_GB2312" w:hAnsi="仿宋_GB2312" w:eastAsia="仿宋_GB2312" w:cs="仿宋_GB2312"/>
          <w:sz w:val="32"/>
          <w:szCs w:val="32"/>
          <w:lang w:val="en-US" w:eastAsia="zh-CN"/>
        </w:rPr>
        <w:t>项目实施单位</w:t>
      </w:r>
      <w:r>
        <w:rPr>
          <w:rFonts w:hint="eastAsia" w:ascii="仿宋_GB2312" w:hAnsi="仿宋_GB2312" w:eastAsia="仿宋_GB2312" w:cs="仿宋_GB2312"/>
          <w:sz w:val="32"/>
          <w:szCs w:val="32"/>
        </w:rPr>
        <w:t>要提高对渔业发展支持政策调整的认识，切实增强大局观念和责任意识，充分发挥政策导向作用，采取信息公开、项目公示等形式，组织做好政策解读和舆论引导等工作，积极争取渔民群众理解和支持，为渔业发展支持政策顺利实施营造良好社会氛围。</w:t>
      </w:r>
    </w:p>
    <w:p w14:paraId="1E4771B1">
      <w:pPr>
        <w:autoSpaceDE w:val="0"/>
        <w:spacing w:line="560" w:lineRule="exact"/>
        <w:ind w:firstLine="640" w:firstLineChars="200"/>
        <w:rPr>
          <w:rFonts w:hint="eastAsia" w:ascii="仿宋_GB2312" w:hAnsi="Times New Roman" w:eastAsia="仿宋_GB2312"/>
          <w:sz w:val="32"/>
          <w:szCs w:val="32"/>
          <w:lang w:val="en-US" w:eastAsia="zh-CN"/>
        </w:rPr>
      </w:pPr>
      <w:r>
        <w:rPr>
          <w:rFonts w:hint="eastAsia" w:ascii="仿宋_GB2312" w:hAnsi="Times New Roman" w:eastAsia="仿宋_GB2312"/>
          <w:sz w:val="32"/>
          <w:szCs w:val="32"/>
        </w:rPr>
        <w:t>附件：</w:t>
      </w:r>
      <w:r>
        <w:rPr>
          <w:rFonts w:hint="eastAsia" w:ascii="仿宋_GB2312" w:hAnsi="Times New Roman" w:eastAsia="仿宋_GB2312"/>
          <w:sz w:val="32"/>
          <w:szCs w:val="32"/>
          <w:lang w:val="en-US" w:eastAsia="zh-CN"/>
        </w:rPr>
        <w:t>1.鄂伦春自治旗2021年渔业补助预算资金项目</w:t>
      </w:r>
    </w:p>
    <w:p w14:paraId="66505AD5">
      <w:pPr>
        <w:autoSpaceDE w:val="0"/>
        <w:spacing w:line="560" w:lineRule="exact"/>
        <w:ind w:firstLine="1920" w:firstLineChars="600"/>
        <w:rPr>
          <w:rFonts w:hint="default" w:ascii="仿宋_GB2312" w:hAnsi="Times New Roman" w:eastAsia="仿宋_GB2312"/>
          <w:sz w:val="32"/>
          <w:szCs w:val="32"/>
          <w:lang w:val="en-US" w:eastAsia="zh-CN"/>
        </w:rPr>
      </w:pPr>
      <w:r>
        <w:rPr>
          <w:rFonts w:hint="eastAsia" w:ascii="仿宋_GB2312" w:hAnsi="Times New Roman" w:eastAsia="仿宋_GB2312"/>
          <w:sz w:val="32"/>
          <w:szCs w:val="32"/>
          <w:lang w:val="en-US" w:eastAsia="zh-CN"/>
        </w:rPr>
        <w:t>领导小组</w:t>
      </w:r>
    </w:p>
    <w:p w14:paraId="30D89030">
      <w:pPr>
        <w:autoSpaceDE w:val="0"/>
        <w:spacing w:line="560" w:lineRule="exact"/>
        <w:ind w:firstLine="1600" w:firstLineChars="500"/>
        <w:rPr>
          <w:rFonts w:hint="eastAsia" w:ascii="仿宋_GB2312" w:hAnsi="Times New Roman" w:eastAsia="仿宋_GB2312"/>
          <w:sz w:val="32"/>
          <w:szCs w:val="32"/>
        </w:rPr>
      </w:pPr>
      <w:r>
        <w:rPr>
          <w:rFonts w:hint="eastAsia" w:ascii="仿宋_GB2312" w:hAnsi="Times New Roman" w:eastAsia="仿宋_GB2312"/>
          <w:sz w:val="32"/>
          <w:szCs w:val="32"/>
          <w:lang w:val="en-US" w:eastAsia="zh-CN"/>
        </w:rPr>
        <w:t>2.</w:t>
      </w:r>
      <w:r>
        <w:rPr>
          <w:rFonts w:hint="eastAsia" w:ascii="仿宋_GB2312" w:hAnsi="Times New Roman" w:eastAsia="仿宋_GB2312"/>
          <w:sz w:val="32"/>
          <w:szCs w:val="32"/>
        </w:rPr>
        <w:t>鄂伦春自治旗</w:t>
      </w:r>
      <w:r>
        <w:rPr>
          <w:rFonts w:hint="eastAsia" w:ascii="Times New Roman" w:hAnsi="Times New Roman" w:eastAsia="仿宋_GB2312"/>
          <w:sz w:val="32"/>
          <w:szCs w:val="32"/>
        </w:rPr>
        <w:t>2021</w:t>
      </w:r>
      <w:r>
        <w:rPr>
          <w:rFonts w:hint="eastAsia" w:ascii="仿宋_GB2312" w:hAnsi="Times New Roman" w:eastAsia="仿宋_GB2312"/>
          <w:sz w:val="32"/>
          <w:szCs w:val="32"/>
        </w:rPr>
        <w:t>年渔业补助预算资金分配</w:t>
      </w:r>
    </w:p>
    <w:p w14:paraId="7398DB6A">
      <w:pPr>
        <w:autoSpaceDE w:val="0"/>
        <w:spacing w:line="560" w:lineRule="exact"/>
        <w:ind w:firstLine="1920" w:firstLineChars="600"/>
        <w:rPr>
          <w:rFonts w:ascii="Times New Roman" w:hAnsi="Times New Roman" w:eastAsia="仿宋_GB2312"/>
          <w:sz w:val="32"/>
          <w:szCs w:val="32"/>
        </w:rPr>
      </w:pPr>
      <w:r>
        <w:rPr>
          <w:rFonts w:hint="eastAsia" w:ascii="仿宋_GB2312" w:hAnsi="Times New Roman" w:eastAsia="仿宋_GB2312"/>
          <w:sz w:val="32"/>
          <w:szCs w:val="32"/>
        </w:rPr>
        <w:t>表</w:t>
      </w:r>
    </w:p>
    <w:p w14:paraId="5F807F47">
      <w:pPr>
        <w:autoSpaceDE w:val="0"/>
        <w:spacing w:line="56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 xml:space="preserve"> </w:t>
      </w:r>
    </w:p>
    <w:p w14:paraId="10E8ED3F">
      <w:pPr>
        <w:widowControl/>
        <w:autoSpaceDE w:val="0"/>
        <w:spacing w:line="560" w:lineRule="exact"/>
        <w:jc w:val="left"/>
        <w:rPr>
          <w:rFonts w:ascii="Times New Roman" w:hAnsi="Times New Roman"/>
          <w:sz w:val="24"/>
          <w:szCs w:val="24"/>
        </w:rPr>
      </w:pPr>
      <w:r>
        <w:rPr>
          <w:rFonts w:ascii="Times New Roman" w:hAnsi="Times New Roman"/>
          <w:sz w:val="24"/>
          <w:szCs w:val="24"/>
        </w:rPr>
        <w:br w:type="page"/>
      </w:r>
    </w:p>
    <w:p w14:paraId="0A1B54AE">
      <w:pPr>
        <w:autoSpaceDE w:val="0"/>
        <w:adjustRightInd w:val="0"/>
        <w:snapToGrid w:val="0"/>
        <w:spacing w:line="560" w:lineRule="exact"/>
        <w:rPr>
          <w:rFonts w:hint="eastAsia" w:ascii="黑体" w:hAnsi="黑体" w:eastAsia="黑体"/>
          <w:sz w:val="32"/>
          <w:szCs w:val="32"/>
          <w:lang w:val="en-US" w:eastAsia="zh-CN"/>
        </w:rPr>
      </w:pPr>
      <w:r>
        <w:rPr>
          <w:rFonts w:hint="eastAsia" w:ascii="黑体" w:hAnsi="黑体" w:eastAsia="黑体"/>
          <w:sz w:val="32"/>
          <w:szCs w:val="32"/>
        </w:rPr>
        <w:t>附件</w:t>
      </w:r>
      <w:r>
        <w:rPr>
          <w:rFonts w:hint="eastAsia" w:ascii="黑体" w:hAnsi="黑体" w:eastAsia="黑体"/>
          <w:sz w:val="32"/>
          <w:szCs w:val="32"/>
          <w:lang w:val="en-US" w:eastAsia="zh-CN"/>
        </w:rPr>
        <w:t>1：</w:t>
      </w:r>
    </w:p>
    <w:p w14:paraId="3278CAF1">
      <w:pPr>
        <w:autoSpaceDE w:val="0"/>
        <w:adjustRightInd w:val="0"/>
        <w:snapToGrid w:val="0"/>
        <w:spacing w:line="560" w:lineRule="exact"/>
        <w:rPr>
          <w:rFonts w:hint="eastAsia" w:ascii="黑体" w:hAnsi="黑体" w:eastAsia="黑体"/>
          <w:sz w:val="32"/>
          <w:szCs w:val="32"/>
          <w:lang w:val="en-US" w:eastAsia="zh-CN"/>
        </w:rPr>
      </w:pPr>
    </w:p>
    <w:p w14:paraId="1AB2F607">
      <w:pPr>
        <w:autoSpaceDE w:val="0"/>
        <w:spacing w:line="560" w:lineRule="exact"/>
        <w:jc w:val="center"/>
        <w:rPr>
          <w:rFonts w:ascii="Times New Roman" w:hAnsi="Times New Roman" w:eastAsia="方正小标宋_GBK"/>
          <w:sz w:val="44"/>
          <w:szCs w:val="44"/>
        </w:rPr>
      </w:pPr>
      <w:r>
        <w:rPr>
          <w:rFonts w:hint="eastAsia" w:ascii="宋体" w:hAnsi="宋体" w:cs="宋体"/>
          <w:sz w:val="44"/>
          <w:szCs w:val="44"/>
        </w:rPr>
        <w:t>鄂伦春自治旗</w:t>
      </w:r>
      <w:r>
        <w:rPr>
          <w:rFonts w:ascii="Times New Roman" w:hAnsi="Times New Roman" w:eastAsia="方正小标宋_GBK"/>
          <w:sz w:val="44"/>
          <w:szCs w:val="44"/>
        </w:rPr>
        <w:t>2021</w:t>
      </w:r>
      <w:r>
        <w:rPr>
          <w:rFonts w:hint="eastAsia" w:ascii="宋体" w:hAnsi="宋体" w:cs="宋体"/>
          <w:sz w:val="44"/>
          <w:szCs w:val="44"/>
        </w:rPr>
        <w:t>年渔业补助</w:t>
      </w:r>
    </w:p>
    <w:p w14:paraId="259F7F08">
      <w:pPr>
        <w:autoSpaceDE w:val="0"/>
        <w:adjustRightInd w:val="0"/>
        <w:snapToGrid w:val="0"/>
        <w:spacing w:line="560" w:lineRule="exact"/>
        <w:jc w:val="center"/>
        <w:rPr>
          <w:rFonts w:hint="eastAsia" w:ascii="宋体" w:hAnsi="宋体" w:cs="宋体"/>
          <w:sz w:val="44"/>
          <w:szCs w:val="44"/>
          <w:lang w:val="en-US" w:eastAsia="zh-CN"/>
        </w:rPr>
      </w:pPr>
      <w:r>
        <w:rPr>
          <w:rFonts w:hint="eastAsia" w:ascii="宋体" w:hAnsi="宋体" w:cs="宋体"/>
          <w:sz w:val="44"/>
          <w:szCs w:val="44"/>
        </w:rPr>
        <w:t>预算资金项目</w:t>
      </w:r>
      <w:r>
        <w:rPr>
          <w:rFonts w:hint="eastAsia" w:ascii="宋体" w:hAnsi="宋体" w:cs="宋体"/>
          <w:sz w:val="44"/>
          <w:szCs w:val="44"/>
          <w:lang w:val="en-US" w:eastAsia="zh-CN"/>
        </w:rPr>
        <w:t>领导小组</w:t>
      </w:r>
    </w:p>
    <w:p w14:paraId="0272FE63">
      <w:pPr>
        <w:autoSpaceDE w:val="0"/>
        <w:adjustRightInd w:val="0"/>
        <w:snapToGrid w:val="0"/>
        <w:spacing w:line="560" w:lineRule="exact"/>
        <w:jc w:val="center"/>
        <w:rPr>
          <w:rFonts w:hint="eastAsia" w:ascii="宋体" w:hAnsi="宋体" w:cs="宋体"/>
          <w:sz w:val="44"/>
          <w:szCs w:val="44"/>
          <w:lang w:val="en-US" w:eastAsia="zh-CN"/>
        </w:rPr>
      </w:pPr>
    </w:p>
    <w:p w14:paraId="7C0C93FA">
      <w:pPr>
        <w:autoSpaceDE w:val="0"/>
        <w:adjustRightInd w:val="0"/>
        <w:snapToGrid w:val="0"/>
        <w:spacing w:line="560" w:lineRule="exact"/>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组  长：涂立志  旗农牧水利科技局党组书记</w:t>
      </w:r>
    </w:p>
    <w:p w14:paraId="72684BCF">
      <w:pPr>
        <w:autoSpaceDE w:val="0"/>
        <w:adjustRightInd w:val="0"/>
        <w:snapToGrid w:val="0"/>
        <w:spacing w:line="560" w:lineRule="exact"/>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副组长：孙宇峰  旗农牧水利科技局副局长</w:t>
      </w:r>
    </w:p>
    <w:p w14:paraId="1286E035">
      <w:pPr>
        <w:autoSpaceDE w:val="0"/>
        <w:adjustRightInd w:val="0"/>
        <w:snapToGrid w:val="0"/>
        <w:spacing w:line="560" w:lineRule="exact"/>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胥寒冬  旗财政局副局长</w:t>
      </w:r>
    </w:p>
    <w:p w14:paraId="63686665">
      <w:pPr>
        <w:autoSpaceDE w:val="0"/>
        <w:adjustRightInd w:val="0"/>
        <w:snapToGrid w:val="0"/>
        <w:spacing w:line="560" w:lineRule="exact"/>
        <w:ind w:firstLine="640" w:firstLineChars="20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成  员：杨明玉  旗财政局农牧业办公室主任</w:t>
      </w:r>
    </w:p>
    <w:p w14:paraId="5C110009">
      <w:pPr>
        <w:autoSpaceDE w:val="0"/>
        <w:adjustRightInd w:val="0"/>
        <w:snapToGrid w:val="0"/>
        <w:spacing w:line="560" w:lineRule="exact"/>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刘建平  旗农牧科技事业发展中心负责人</w:t>
      </w:r>
    </w:p>
    <w:p w14:paraId="04A8770E">
      <w:pPr>
        <w:autoSpaceDE w:val="0"/>
        <w:adjustRightInd w:val="0"/>
        <w:snapToGrid w:val="0"/>
        <w:spacing w:line="560" w:lineRule="exact"/>
        <w:ind w:firstLine="640" w:firstLineChars="20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        李  明  旗农牧业综合行政执法大队副队长</w:t>
      </w:r>
    </w:p>
    <w:p w14:paraId="3A84E14F">
      <w:pPr>
        <w:autoSpaceDE w:val="0"/>
        <w:adjustRightInd w:val="0"/>
        <w:snapToGrid w:val="0"/>
        <w:spacing w:line="560" w:lineRule="exact"/>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闫  鹏  旗农畜产品质量安全中心主任</w:t>
      </w:r>
    </w:p>
    <w:p w14:paraId="45C253EA">
      <w:pPr>
        <w:autoSpaceDE w:val="0"/>
        <w:adjustRightInd w:val="0"/>
        <w:snapToGrid w:val="0"/>
        <w:spacing w:line="560" w:lineRule="exact"/>
        <w:ind w:firstLine="640" w:firstLineChars="20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        </w:t>
      </w:r>
    </w:p>
    <w:p w14:paraId="41D28D35">
      <w:pPr>
        <w:autoSpaceDE w:val="0"/>
        <w:adjustRightInd w:val="0"/>
        <w:snapToGrid w:val="0"/>
        <w:spacing w:line="560" w:lineRule="exact"/>
        <w:ind w:firstLine="640" w:firstLineChars="20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领导小组下设办公室，设在旗农牧科技事业发展中心，办公室主任刘建平，成员郭建新、张宏来、石蕊。</w:t>
      </w:r>
    </w:p>
    <w:p w14:paraId="1699730C">
      <w:pPr>
        <w:rPr>
          <w:rFonts w:hint="eastAsia" w:ascii="黑体" w:hAnsi="黑体" w:eastAsia="黑体"/>
          <w:sz w:val="32"/>
          <w:szCs w:val="32"/>
          <w:lang w:val="en-US" w:eastAsia="zh-CN"/>
        </w:rPr>
      </w:pPr>
      <w:r>
        <w:rPr>
          <w:rFonts w:hint="eastAsia" w:ascii="黑体" w:hAnsi="黑体" w:eastAsia="黑体"/>
          <w:sz w:val="32"/>
          <w:szCs w:val="32"/>
          <w:lang w:val="en-US" w:eastAsia="zh-CN"/>
        </w:rPr>
        <w:br w:type="page"/>
      </w:r>
    </w:p>
    <w:p w14:paraId="62D4C252">
      <w:pPr>
        <w:autoSpaceDE w:val="0"/>
        <w:adjustRightInd w:val="0"/>
        <w:snapToGrid w:val="0"/>
        <w:spacing w:line="560" w:lineRule="exact"/>
        <w:rPr>
          <w:rFonts w:hint="eastAsia" w:ascii="黑体" w:hAnsi="黑体" w:eastAsia="黑体"/>
          <w:sz w:val="32"/>
          <w:szCs w:val="32"/>
        </w:rPr>
      </w:pPr>
      <w:r>
        <w:rPr>
          <w:rFonts w:hint="eastAsia" w:ascii="黑体" w:hAnsi="黑体" w:eastAsia="黑体"/>
          <w:sz w:val="32"/>
          <w:szCs w:val="32"/>
          <w:lang w:val="en-US" w:eastAsia="zh-CN"/>
        </w:rPr>
        <w:t>附件2：</w:t>
      </w:r>
      <w:r>
        <w:rPr>
          <w:rFonts w:hint="eastAsia" w:ascii="黑体" w:hAnsi="黑体" w:eastAsia="黑体"/>
          <w:sz w:val="32"/>
          <w:szCs w:val="32"/>
        </w:rPr>
        <w:t xml:space="preserve"> </w:t>
      </w:r>
    </w:p>
    <w:p w14:paraId="53336067">
      <w:pPr>
        <w:autoSpaceDE w:val="0"/>
        <w:adjustRightInd w:val="0"/>
        <w:snapToGrid w:val="0"/>
        <w:spacing w:line="560" w:lineRule="exact"/>
        <w:ind w:firstLine="200"/>
        <w:jc w:val="center"/>
        <w:rPr>
          <w:rFonts w:hint="eastAsia" w:ascii="Times New Roman" w:hAnsi="Times New Roman" w:eastAsia="仿宋"/>
          <w:sz w:val="24"/>
          <w:szCs w:val="24"/>
        </w:rPr>
      </w:pPr>
      <w:r>
        <w:rPr>
          <w:rFonts w:hint="eastAsia" w:ascii="黑体" w:hAnsi="黑体" w:eastAsia="黑体"/>
          <w:sz w:val="32"/>
          <w:szCs w:val="32"/>
        </w:rPr>
        <w:t>鄂伦春自治旗2021年渔业补助预算资金分配表</w:t>
      </w:r>
    </w:p>
    <w:tbl>
      <w:tblPr>
        <w:tblStyle w:val="3"/>
        <w:tblW w:w="54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
        <w:gridCol w:w="1842"/>
        <w:gridCol w:w="4027"/>
        <w:gridCol w:w="1505"/>
        <w:gridCol w:w="901"/>
      </w:tblGrid>
      <w:tr w14:paraId="1B712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533" w:type="pct"/>
            <w:tcBorders>
              <w:top w:val="single" w:color="auto" w:sz="4" w:space="0"/>
              <w:left w:val="single" w:color="auto" w:sz="4" w:space="0"/>
              <w:bottom w:val="single" w:color="auto" w:sz="4" w:space="0"/>
              <w:right w:val="single" w:color="auto" w:sz="4" w:space="0"/>
            </w:tcBorders>
            <w:vAlign w:val="center"/>
          </w:tcPr>
          <w:p w14:paraId="7655A36B">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序号</w:t>
            </w:r>
          </w:p>
        </w:tc>
        <w:tc>
          <w:tcPr>
            <w:tcW w:w="994" w:type="pct"/>
            <w:tcBorders>
              <w:top w:val="single" w:color="auto" w:sz="4" w:space="0"/>
              <w:left w:val="single" w:color="auto" w:sz="4" w:space="0"/>
              <w:bottom w:val="single" w:color="auto" w:sz="4" w:space="0"/>
              <w:right w:val="single" w:color="auto" w:sz="4" w:space="0"/>
            </w:tcBorders>
            <w:vAlign w:val="center"/>
          </w:tcPr>
          <w:p w14:paraId="51645B32">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实施单位</w:t>
            </w:r>
          </w:p>
        </w:tc>
        <w:tc>
          <w:tcPr>
            <w:tcW w:w="2173" w:type="pct"/>
            <w:tcBorders>
              <w:top w:val="single" w:color="auto" w:sz="4" w:space="0"/>
              <w:left w:val="single" w:color="auto" w:sz="4" w:space="0"/>
              <w:bottom w:val="single" w:color="auto" w:sz="4" w:space="0"/>
              <w:right w:val="single" w:color="auto" w:sz="4" w:space="0"/>
            </w:tcBorders>
            <w:vAlign w:val="center"/>
          </w:tcPr>
          <w:p w14:paraId="4E9A5EEA">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实施内容</w:t>
            </w:r>
          </w:p>
        </w:tc>
        <w:tc>
          <w:tcPr>
            <w:tcW w:w="812" w:type="pct"/>
            <w:tcBorders>
              <w:top w:val="single" w:color="auto" w:sz="4" w:space="0"/>
              <w:left w:val="single" w:color="auto" w:sz="4" w:space="0"/>
              <w:bottom w:val="single" w:color="auto" w:sz="4" w:space="0"/>
              <w:right w:val="single" w:color="auto" w:sz="4" w:space="0"/>
            </w:tcBorders>
            <w:vAlign w:val="center"/>
          </w:tcPr>
          <w:p w14:paraId="658D3D30">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项目资金</w:t>
            </w:r>
          </w:p>
          <w:p w14:paraId="6DCE5626">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（万元）</w:t>
            </w:r>
          </w:p>
        </w:tc>
        <w:tc>
          <w:tcPr>
            <w:tcW w:w="486" w:type="pct"/>
            <w:tcBorders>
              <w:top w:val="single" w:color="auto" w:sz="4" w:space="0"/>
              <w:left w:val="single" w:color="auto" w:sz="4" w:space="0"/>
              <w:bottom w:val="single" w:color="auto" w:sz="4" w:space="0"/>
              <w:right w:val="single" w:color="auto" w:sz="4" w:space="0"/>
            </w:tcBorders>
            <w:vAlign w:val="center"/>
          </w:tcPr>
          <w:p w14:paraId="00996C08">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备注</w:t>
            </w:r>
          </w:p>
        </w:tc>
      </w:tr>
      <w:tr w14:paraId="046FC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533" w:type="pct"/>
            <w:vMerge w:val="restart"/>
            <w:tcBorders>
              <w:top w:val="nil"/>
              <w:left w:val="single" w:color="auto" w:sz="4" w:space="0"/>
              <w:bottom w:val="single" w:color="auto" w:sz="4" w:space="0"/>
              <w:right w:val="single" w:color="auto" w:sz="4" w:space="0"/>
            </w:tcBorders>
            <w:vAlign w:val="center"/>
          </w:tcPr>
          <w:p w14:paraId="7AC791D1">
            <w:pPr>
              <w:autoSpaceDE w:val="0"/>
              <w:adjustRightInd w:val="0"/>
              <w:snapToGrid w:val="0"/>
              <w:spacing w:line="560" w:lineRule="exact"/>
              <w:jc w:val="center"/>
              <w:rPr>
                <w:rFonts w:ascii="Times New Roman" w:hAnsi="Times New Roman" w:eastAsia="仿宋"/>
                <w:kern w:val="2"/>
                <w:sz w:val="24"/>
                <w:szCs w:val="24"/>
              </w:rPr>
            </w:pPr>
            <w:r>
              <w:rPr>
                <w:rFonts w:ascii="Times New Roman" w:hAnsi="Times New Roman" w:eastAsia="仿宋"/>
                <w:kern w:val="0"/>
                <w:sz w:val="24"/>
                <w:szCs w:val="24"/>
              </w:rPr>
              <w:t>1</w:t>
            </w:r>
          </w:p>
        </w:tc>
        <w:tc>
          <w:tcPr>
            <w:tcW w:w="994" w:type="pct"/>
            <w:vMerge w:val="restart"/>
            <w:tcBorders>
              <w:top w:val="nil"/>
              <w:left w:val="single" w:color="auto" w:sz="4" w:space="0"/>
              <w:bottom w:val="single" w:color="auto" w:sz="4" w:space="0"/>
              <w:right w:val="single" w:color="auto" w:sz="4" w:space="0"/>
            </w:tcBorders>
            <w:vAlign w:val="center"/>
          </w:tcPr>
          <w:p w14:paraId="51661F93">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旗农牧科技事业发展中心</w:t>
            </w:r>
          </w:p>
        </w:tc>
        <w:tc>
          <w:tcPr>
            <w:tcW w:w="2173" w:type="pct"/>
            <w:tcBorders>
              <w:top w:val="single" w:color="auto" w:sz="4" w:space="0"/>
              <w:left w:val="single" w:color="auto" w:sz="4" w:space="0"/>
              <w:bottom w:val="single" w:color="auto" w:sz="4" w:space="0"/>
              <w:right w:val="single" w:color="auto" w:sz="4" w:space="0"/>
            </w:tcBorders>
            <w:vAlign w:val="center"/>
          </w:tcPr>
          <w:p w14:paraId="3E4C4932">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技术指导</w:t>
            </w:r>
          </w:p>
        </w:tc>
        <w:tc>
          <w:tcPr>
            <w:tcW w:w="812" w:type="pct"/>
            <w:tcBorders>
              <w:top w:val="single" w:color="auto" w:sz="4" w:space="0"/>
              <w:left w:val="single" w:color="auto" w:sz="4" w:space="0"/>
              <w:bottom w:val="single" w:color="auto" w:sz="4" w:space="0"/>
              <w:right w:val="single" w:color="auto" w:sz="4" w:space="0"/>
            </w:tcBorders>
            <w:vAlign w:val="center"/>
          </w:tcPr>
          <w:p w14:paraId="7F0FEF3D">
            <w:pPr>
              <w:autoSpaceDE w:val="0"/>
              <w:adjustRightInd w:val="0"/>
              <w:snapToGrid w:val="0"/>
              <w:spacing w:line="560" w:lineRule="exact"/>
              <w:jc w:val="center"/>
              <w:rPr>
                <w:rFonts w:ascii="Times New Roman" w:hAnsi="Times New Roman" w:eastAsia="仿宋"/>
                <w:kern w:val="2"/>
                <w:sz w:val="24"/>
                <w:szCs w:val="24"/>
              </w:rPr>
            </w:pPr>
            <w:r>
              <w:rPr>
                <w:rFonts w:ascii="Times New Roman" w:hAnsi="Times New Roman" w:eastAsia="仿宋"/>
                <w:kern w:val="0"/>
                <w:sz w:val="24"/>
                <w:szCs w:val="24"/>
              </w:rPr>
              <w:t>3.0</w:t>
            </w:r>
          </w:p>
        </w:tc>
        <w:tc>
          <w:tcPr>
            <w:tcW w:w="486" w:type="pct"/>
            <w:tcBorders>
              <w:top w:val="single" w:color="auto" w:sz="4" w:space="0"/>
              <w:left w:val="single" w:color="auto" w:sz="4" w:space="0"/>
              <w:bottom w:val="single" w:color="auto" w:sz="4" w:space="0"/>
              <w:right w:val="single" w:color="auto" w:sz="4" w:space="0"/>
            </w:tcBorders>
            <w:vAlign w:val="center"/>
          </w:tcPr>
          <w:p w14:paraId="112E0665">
            <w:pPr>
              <w:autoSpaceDE w:val="0"/>
              <w:adjustRightInd w:val="0"/>
              <w:snapToGrid w:val="0"/>
              <w:spacing w:line="560" w:lineRule="exact"/>
              <w:jc w:val="center"/>
              <w:rPr>
                <w:rFonts w:ascii="Times New Roman" w:hAnsi="Times New Roman" w:eastAsia="仿宋"/>
                <w:kern w:val="2"/>
                <w:sz w:val="24"/>
                <w:szCs w:val="24"/>
              </w:rPr>
            </w:pPr>
          </w:p>
        </w:tc>
      </w:tr>
      <w:tr w14:paraId="74924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61C9ED5F">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5E51E07C">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55960C00">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宣传材料</w:t>
            </w:r>
          </w:p>
        </w:tc>
        <w:tc>
          <w:tcPr>
            <w:tcW w:w="812" w:type="pct"/>
            <w:tcBorders>
              <w:top w:val="single" w:color="auto" w:sz="4" w:space="0"/>
              <w:left w:val="single" w:color="auto" w:sz="4" w:space="0"/>
              <w:bottom w:val="single" w:color="auto" w:sz="4" w:space="0"/>
              <w:right w:val="single" w:color="auto" w:sz="4" w:space="0"/>
            </w:tcBorders>
            <w:vAlign w:val="center"/>
          </w:tcPr>
          <w:p w14:paraId="02E04B04">
            <w:pPr>
              <w:autoSpaceDE w:val="0"/>
              <w:adjustRightInd w:val="0"/>
              <w:snapToGrid w:val="0"/>
              <w:spacing w:line="560" w:lineRule="exact"/>
              <w:jc w:val="center"/>
              <w:rPr>
                <w:rFonts w:ascii="Times New Roman" w:hAnsi="Times New Roman" w:eastAsia="仿宋"/>
                <w:kern w:val="2"/>
                <w:sz w:val="24"/>
                <w:szCs w:val="24"/>
              </w:rPr>
            </w:pPr>
            <w:r>
              <w:rPr>
                <w:rFonts w:ascii="Times New Roman" w:hAnsi="Times New Roman" w:eastAsia="仿宋"/>
                <w:kern w:val="0"/>
                <w:sz w:val="24"/>
                <w:szCs w:val="24"/>
              </w:rPr>
              <w:t>1.9</w:t>
            </w:r>
          </w:p>
        </w:tc>
        <w:tc>
          <w:tcPr>
            <w:tcW w:w="486" w:type="pct"/>
            <w:tcBorders>
              <w:top w:val="single" w:color="auto" w:sz="4" w:space="0"/>
              <w:left w:val="single" w:color="auto" w:sz="4" w:space="0"/>
              <w:bottom w:val="single" w:color="auto" w:sz="4" w:space="0"/>
              <w:right w:val="single" w:color="auto" w:sz="4" w:space="0"/>
            </w:tcBorders>
            <w:vAlign w:val="center"/>
          </w:tcPr>
          <w:p w14:paraId="53982F3A">
            <w:pPr>
              <w:autoSpaceDE w:val="0"/>
              <w:adjustRightInd w:val="0"/>
              <w:snapToGrid w:val="0"/>
              <w:spacing w:line="560" w:lineRule="exact"/>
              <w:jc w:val="center"/>
              <w:rPr>
                <w:rFonts w:ascii="Times New Roman" w:hAnsi="Times New Roman" w:eastAsia="仿宋"/>
                <w:kern w:val="2"/>
                <w:sz w:val="24"/>
                <w:szCs w:val="24"/>
              </w:rPr>
            </w:pPr>
          </w:p>
        </w:tc>
      </w:tr>
      <w:tr w14:paraId="16BC1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3684FD97">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3E96023A">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76CE1AA4">
            <w:pPr>
              <w:autoSpaceDE w:val="0"/>
              <w:adjustRightInd w:val="0"/>
              <w:snapToGrid w:val="0"/>
              <w:spacing w:line="560" w:lineRule="exact"/>
              <w:jc w:val="center"/>
              <w:rPr>
                <w:rFonts w:hint="default" w:ascii="仿宋" w:hAnsi="仿宋" w:eastAsia="仿宋"/>
                <w:kern w:val="0"/>
                <w:sz w:val="24"/>
                <w:szCs w:val="24"/>
                <w:lang w:val="en-US" w:eastAsia="zh-CN"/>
              </w:rPr>
            </w:pPr>
            <w:r>
              <w:rPr>
                <w:rFonts w:hint="eastAsia" w:ascii="仿宋" w:hAnsi="仿宋" w:eastAsia="仿宋"/>
                <w:kern w:val="0"/>
                <w:sz w:val="24"/>
                <w:szCs w:val="24"/>
                <w:lang w:val="en-US" w:eastAsia="zh-CN"/>
              </w:rPr>
              <w:t>编制鄂伦春自治渔业发展规划</w:t>
            </w:r>
          </w:p>
        </w:tc>
        <w:tc>
          <w:tcPr>
            <w:tcW w:w="812" w:type="pct"/>
            <w:tcBorders>
              <w:top w:val="single" w:color="auto" w:sz="4" w:space="0"/>
              <w:left w:val="single" w:color="auto" w:sz="4" w:space="0"/>
              <w:bottom w:val="single" w:color="auto" w:sz="4" w:space="0"/>
              <w:right w:val="single" w:color="auto" w:sz="4" w:space="0"/>
            </w:tcBorders>
            <w:vAlign w:val="center"/>
          </w:tcPr>
          <w:p w14:paraId="6E24A670">
            <w:pPr>
              <w:autoSpaceDE w:val="0"/>
              <w:adjustRightInd w:val="0"/>
              <w:snapToGrid w:val="0"/>
              <w:spacing w:line="560" w:lineRule="exact"/>
              <w:jc w:val="center"/>
              <w:rPr>
                <w:rFonts w:hint="default" w:ascii="Times New Roman" w:hAnsi="Times New Roman" w:eastAsia="仿宋"/>
                <w:kern w:val="0"/>
                <w:sz w:val="24"/>
                <w:szCs w:val="24"/>
                <w:lang w:val="en-US" w:eastAsia="zh-CN"/>
              </w:rPr>
            </w:pPr>
            <w:r>
              <w:rPr>
                <w:rFonts w:hint="eastAsia" w:ascii="Times New Roman" w:hAnsi="Times New Roman" w:eastAsia="仿宋"/>
                <w:kern w:val="0"/>
                <w:sz w:val="24"/>
                <w:szCs w:val="24"/>
                <w:lang w:val="en-US" w:eastAsia="zh-CN"/>
              </w:rPr>
              <w:t>5.7</w:t>
            </w:r>
          </w:p>
        </w:tc>
        <w:tc>
          <w:tcPr>
            <w:tcW w:w="486" w:type="pct"/>
            <w:tcBorders>
              <w:top w:val="single" w:color="auto" w:sz="4" w:space="0"/>
              <w:left w:val="single" w:color="auto" w:sz="4" w:space="0"/>
              <w:bottom w:val="single" w:color="auto" w:sz="4" w:space="0"/>
              <w:right w:val="single" w:color="auto" w:sz="4" w:space="0"/>
            </w:tcBorders>
            <w:vAlign w:val="center"/>
          </w:tcPr>
          <w:p w14:paraId="62BE89CE">
            <w:pPr>
              <w:autoSpaceDE w:val="0"/>
              <w:adjustRightInd w:val="0"/>
              <w:snapToGrid w:val="0"/>
              <w:spacing w:line="560" w:lineRule="exact"/>
              <w:jc w:val="center"/>
              <w:rPr>
                <w:rFonts w:ascii="Times New Roman" w:hAnsi="Times New Roman" w:eastAsia="仿宋"/>
                <w:kern w:val="2"/>
                <w:sz w:val="24"/>
                <w:szCs w:val="24"/>
              </w:rPr>
            </w:pPr>
          </w:p>
        </w:tc>
      </w:tr>
      <w:tr w14:paraId="26684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6BC6CFCF">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1D432156">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2240CEEA">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合计</w:t>
            </w:r>
          </w:p>
        </w:tc>
        <w:tc>
          <w:tcPr>
            <w:tcW w:w="812" w:type="pct"/>
            <w:tcBorders>
              <w:top w:val="single" w:color="auto" w:sz="4" w:space="0"/>
              <w:left w:val="single" w:color="auto" w:sz="4" w:space="0"/>
              <w:bottom w:val="single" w:color="auto" w:sz="4" w:space="0"/>
              <w:right w:val="single" w:color="auto" w:sz="4" w:space="0"/>
            </w:tcBorders>
            <w:vAlign w:val="center"/>
          </w:tcPr>
          <w:p w14:paraId="320952BD">
            <w:pPr>
              <w:autoSpaceDE w:val="0"/>
              <w:adjustRightInd w:val="0"/>
              <w:snapToGrid w:val="0"/>
              <w:spacing w:line="560" w:lineRule="exact"/>
              <w:jc w:val="center"/>
              <w:rPr>
                <w:rFonts w:hint="default" w:ascii="Times New Roman" w:hAnsi="Times New Roman" w:eastAsia="仿宋"/>
                <w:kern w:val="2"/>
                <w:sz w:val="24"/>
                <w:szCs w:val="24"/>
                <w:lang w:val="en-US" w:eastAsia="zh-CN"/>
              </w:rPr>
            </w:pPr>
            <w:r>
              <w:rPr>
                <w:rFonts w:hint="eastAsia" w:ascii="Times New Roman" w:hAnsi="Times New Roman" w:eastAsia="仿宋"/>
                <w:kern w:val="0"/>
                <w:sz w:val="24"/>
                <w:szCs w:val="24"/>
                <w:lang w:val="en-US" w:eastAsia="zh-CN"/>
              </w:rPr>
              <w:t>10.6</w:t>
            </w:r>
          </w:p>
        </w:tc>
        <w:tc>
          <w:tcPr>
            <w:tcW w:w="486" w:type="pct"/>
            <w:tcBorders>
              <w:top w:val="single" w:color="auto" w:sz="4" w:space="0"/>
              <w:left w:val="single" w:color="auto" w:sz="4" w:space="0"/>
              <w:bottom w:val="single" w:color="auto" w:sz="4" w:space="0"/>
              <w:right w:val="single" w:color="auto" w:sz="4" w:space="0"/>
            </w:tcBorders>
            <w:vAlign w:val="center"/>
          </w:tcPr>
          <w:p w14:paraId="128F9906">
            <w:pPr>
              <w:autoSpaceDE w:val="0"/>
              <w:adjustRightInd w:val="0"/>
              <w:snapToGrid w:val="0"/>
              <w:spacing w:line="560" w:lineRule="exact"/>
              <w:jc w:val="center"/>
              <w:rPr>
                <w:rFonts w:ascii="Times New Roman" w:hAnsi="Times New Roman" w:eastAsia="仿宋"/>
                <w:kern w:val="2"/>
                <w:sz w:val="24"/>
                <w:szCs w:val="24"/>
              </w:rPr>
            </w:pPr>
          </w:p>
        </w:tc>
      </w:tr>
      <w:tr w14:paraId="4EBC1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533" w:type="pct"/>
            <w:vMerge w:val="restart"/>
            <w:tcBorders>
              <w:top w:val="nil"/>
              <w:left w:val="single" w:color="auto" w:sz="4" w:space="0"/>
              <w:bottom w:val="single" w:color="auto" w:sz="4" w:space="0"/>
              <w:right w:val="single" w:color="auto" w:sz="4" w:space="0"/>
            </w:tcBorders>
            <w:vAlign w:val="center"/>
          </w:tcPr>
          <w:p w14:paraId="5F1906D7">
            <w:pPr>
              <w:autoSpaceDE w:val="0"/>
              <w:adjustRightInd w:val="0"/>
              <w:snapToGrid w:val="0"/>
              <w:spacing w:line="560" w:lineRule="exact"/>
              <w:jc w:val="center"/>
              <w:rPr>
                <w:rFonts w:ascii="Times New Roman" w:hAnsi="Times New Roman" w:eastAsia="仿宋"/>
                <w:kern w:val="2"/>
                <w:sz w:val="24"/>
                <w:szCs w:val="24"/>
              </w:rPr>
            </w:pPr>
            <w:r>
              <w:rPr>
                <w:rFonts w:ascii="Times New Roman" w:hAnsi="Times New Roman" w:eastAsia="仿宋"/>
                <w:kern w:val="0"/>
                <w:sz w:val="24"/>
                <w:szCs w:val="24"/>
              </w:rPr>
              <w:t>2</w:t>
            </w:r>
          </w:p>
        </w:tc>
        <w:tc>
          <w:tcPr>
            <w:tcW w:w="994" w:type="pct"/>
            <w:vMerge w:val="restart"/>
            <w:tcBorders>
              <w:top w:val="nil"/>
              <w:left w:val="single" w:color="auto" w:sz="4" w:space="0"/>
              <w:bottom w:val="single" w:color="auto" w:sz="4" w:space="0"/>
              <w:right w:val="single" w:color="auto" w:sz="4" w:space="0"/>
            </w:tcBorders>
            <w:vAlign w:val="center"/>
          </w:tcPr>
          <w:p w14:paraId="0DF28E96">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旗农畜产品质量安全中心</w:t>
            </w:r>
          </w:p>
        </w:tc>
        <w:tc>
          <w:tcPr>
            <w:tcW w:w="2173" w:type="pct"/>
            <w:tcBorders>
              <w:top w:val="single" w:color="auto" w:sz="4" w:space="0"/>
              <w:left w:val="single" w:color="auto" w:sz="4" w:space="0"/>
              <w:bottom w:val="single" w:color="auto" w:sz="4" w:space="0"/>
              <w:right w:val="single" w:color="auto" w:sz="4" w:space="0"/>
            </w:tcBorders>
            <w:vAlign w:val="center"/>
          </w:tcPr>
          <w:p w14:paraId="22C42ED5">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购置水产品快速检测器、配套试剂盒</w:t>
            </w:r>
          </w:p>
        </w:tc>
        <w:tc>
          <w:tcPr>
            <w:tcW w:w="812" w:type="pct"/>
            <w:tcBorders>
              <w:top w:val="single" w:color="auto" w:sz="4" w:space="0"/>
              <w:left w:val="single" w:color="auto" w:sz="4" w:space="0"/>
              <w:bottom w:val="single" w:color="auto" w:sz="4" w:space="0"/>
              <w:right w:val="single" w:color="auto" w:sz="4" w:space="0"/>
            </w:tcBorders>
            <w:vAlign w:val="center"/>
          </w:tcPr>
          <w:p w14:paraId="4D8560A8">
            <w:pPr>
              <w:autoSpaceDE w:val="0"/>
              <w:adjustRightInd w:val="0"/>
              <w:snapToGrid w:val="0"/>
              <w:spacing w:line="560" w:lineRule="exact"/>
              <w:jc w:val="center"/>
              <w:rPr>
                <w:rFonts w:ascii="Times New Roman" w:hAnsi="Times New Roman" w:eastAsia="仿宋"/>
                <w:kern w:val="2"/>
                <w:sz w:val="24"/>
                <w:szCs w:val="24"/>
              </w:rPr>
            </w:pPr>
            <w:r>
              <w:rPr>
                <w:rFonts w:hint="eastAsia" w:ascii="Times New Roman" w:hAnsi="Times New Roman" w:eastAsia="仿宋"/>
                <w:kern w:val="0"/>
                <w:sz w:val="24"/>
                <w:szCs w:val="24"/>
                <w:lang w:val="en-US" w:eastAsia="zh-CN"/>
              </w:rPr>
              <w:t>1.5</w:t>
            </w:r>
            <w:r>
              <w:rPr>
                <w:rFonts w:ascii="Times New Roman" w:hAnsi="Times New Roman" w:eastAsia="仿宋"/>
                <w:kern w:val="0"/>
                <w:sz w:val="24"/>
                <w:szCs w:val="24"/>
              </w:rPr>
              <w:t>.</w:t>
            </w:r>
          </w:p>
        </w:tc>
        <w:tc>
          <w:tcPr>
            <w:tcW w:w="486" w:type="pct"/>
            <w:tcBorders>
              <w:top w:val="single" w:color="auto" w:sz="4" w:space="0"/>
              <w:left w:val="single" w:color="auto" w:sz="4" w:space="0"/>
              <w:bottom w:val="single" w:color="auto" w:sz="4" w:space="0"/>
              <w:right w:val="single" w:color="auto" w:sz="4" w:space="0"/>
            </w:tcBorders>
            <w:vAlign w:val="center"/>
          </w:tcPr>
          <w:p w14:paraId="6E4AACA3">
            <w:pPr>
              <w:autoSpaceDE w:val="0"/>
              <w:adjustRightInd w:val="0"/>
              <w:snapToGrid w:val="0"/>
              <w:spacing w:line="560" w:lineRule="exact"/>
              <w:jc w:val="center"/>
              <w:rPr>
                <w:rFonts w:ascii="Times New Roman" w:hAnsi="Times New Roman" w:eastAsia="仿宋"/>
                <w:kern w:val="2"/>
                <w:sz w:val="24"/>
                <w:szCs w:val="24"/>
              </w:rPr>
            </w:pPr>
          </w:p>
        </w:tc>
      </w:tr>
      <w:tr w14:paraId="1F462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nil"/>
              <w:left w:val="single" w:color="auto" w:sz="4" w:space="0"/>
              <w:bottom w:val="single" w:color="auto" w:sz="4" w:space="0"/>
              <w:right w:val="single" w:color="auto" w:sz="4" w:space="0"/>
            </w:tcBorders>
            <w:vAlign w:val="center"/>
          </w:tcPr>
          <w:p w14:paraId="716F4B4F">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3DAEAB57">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074DE960">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购置快速检测卡（孔雀石绿快速检测卡、氯霉素快速检测卡）</w:t>
            </w:r>
          </w:p>
        </w:tc>
        <w:tc>
          <w:tcPr>
            <w:tcW w:w="812" w:type="pct"/>
            <w:tcBorders>
              <w:top w:val="single" w:color="auto" w:sz="4" w:space="0"/>
              <w:left w:val="single" w:color="auto" w:sz="4" w:space="0"/>
              <w:bottom w:val="single" w:color="auto" w:sz="4" w:space="0"/>
              <w:right w:val="single" w:color="auto" w:sz="4" w:space="0"/>
            </w:tcBorders>
            <w:vAlign w:val="center"/>
          </w:tcPr>
          <w:p w14:paraId="5649ED46">
            <w:pPr>
              <w:autoSpaceDE w:val="0"/>
              <w:adjustRightInd w:val="0"/>
              <w:snapToGrid w:val="0"/>
              <w:spacing w:line="560" w:lineRule="exact"/>
              <w:jc w:val="center"/>
              <w:rPr>
                <w:rFonts w:ascii="Times New Roman" w:hAnsi="Times New Roman" w:eastAsia="仿宋"/>
                <w:kern w:val="2"/>
                <w:sz w:val="24"/>
                <w:szCs w:val="24"/>
              </w:rPr>
            </w:pPr>
            <w:r>
              <w:rPr>
                <w:rFonts w:ascii="Times New Roman" w:hAnsi="Times New Roman" w:eastAsia="仿宋"/>
                <w:kern w:val="0"/>
                <w:sz w:val="24"/>
                <w:szCs w:val="24"/>
              </w:rPr>
              <w:t>1.0</w:t>
            </w:r>
          </w:p>
        </w:tc>
        <w:tc>
          <w:tcPr>
            <w:tcW w:w="486" w:type="pct"/>
            <w:tcBorders>
              <w:top w:val="single" w:color="auto" w:sz="4" w:space="0"/>
              <w:left w:val="single" w:color="auto" w:sz="4" w:space="0"/>
              <w:bottom w:val="single" w:color="auto" w:sz="4" w:space="0"/>
              <w:right w:val="single" w:color="auto" w:sz="4" w:space="0"/>
            </w:tcBorders>
            <w:vAlign w:val="center"/>
          </w:tcPr>
          <w:p w14:paraId="1259D08F">
            <w:pPr>
              <w:autoSpaceDE w:val="0"/>
              <w:adjustRightInd w:val="0"/>
              <w:snapToGrid w:val="0"/>
              <w:spacing w:line="560" w:lineRule="exact"/>
              <w:jc w:val="center"/>
              <w:rPr>
                <w:rFonts w:ascii="Times New Roman" w:hAnsi="Times New Roman" w:eastAsia="仿宋"/>
                <w:kern w:val="2"/>
                <w:sz w:val="24"/>
                <w:szCs w:val="24"/>
              </w:rPr>
            </w:pPr>
          </w:p>
        </w:tc>
      </w:tr>
      <w:tr w14:paraId="648C9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35CF0490">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6880C063">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564445A4">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配合上级抽检及第三方检测</w:t>
            </w:r>
          </w:p>
        </w:tc>
        <w:tc>
          <w:tcPr>
            <w:tcW w:w="812" w:type="pct"/>
            <w:tcBorders>
              <w:top w:val="single" w:color="auto" w:sz="4" w:space="0"/>
              <w:left w:val="single" w:color="auto" w:sz="4" w:space="0"/>
              <w:bottom w:val="single" w:color="auto" w:sz="4" w:space="0"/>
              <w:right w:val="single" w:color="auto" w:sz="4" w:space="0"/>
            </w:tcBorders>
            <w:vAlign w:val="center"/>
          </w:tcPr>
          <w:p w14:paraId="2043B0D0">
            <w:pPr>
              <w:autoSpaceDE w:val="0"/>
              <w:adjustRightInd w:val="0"/>
              <w:snapToGrid w:val="0"/>
              <w:spacing w:line="560" w:lineRule="exact"/>
              <w:jc w:val="center"/>
              <w:rPr>
                <w:rFonts w:ascii="Times New Roman" w:hAnsi="Times New Roman" w:eastAsia="仿宋"/>
                <w:kern w:val="2"/>
                <w:sz w:val="24"/>
                <w:szCs w:val="24"/>
              </w:rPr>
            </w:pPr>
            <w:r>
              <w:rPr>
                <w:rFonts w:ascii="Times New Roman" w:hAnsi="Times New Roman" w:eastAsia="仿宋"/>
                <w:kern w:val="0"/>
                <w:sz w:val="24"/>
                <w:szCs w:val="24"/>
              </w:rPr>
              <w:t>1.0</w:t>
            </w:r>
          </w:p>
        </w:tc>
        <w:tc>
          <w:tcPr>
            <w:tcW w:w="486" w:type="pct"/>
            <w:tcBorders>
              <w:top w:val="single" w:color="auto" w:sz="4" w:space="0"/>
              <w:left w:val="single" w:color="auto" w:sz="4" w:space="0"/>
              <w:bottom w:val="single" w:color="auto" w:sz="4" w:space="0"/>
              <w:right w:val="single" w:color="auto" w:sz="4" w:space="0"/>
            </w:tcBorders>
            <w:vAlign w:val="center"/>
          </w:tcPr>
          <w:p w14:paraId="10A34302">
            <w:pPr>
              <w:autoSpaceDE w:val="0"/>
              <w:adjustRightInd w:val="0"/>
              <w:snapToGrid w:val="0"/>
              <w:spacing w:line="560" w:lineRule="exact"/>
              <w:jc w:val="center"/>
              <w:rPr>
                <w:rFonts w:ascii="Times New Roman" w:hAnsi="Times New Roman" w:eastAsia="仿宋"/>
                <w:kern w:val="2"/>
                <w:sz w:val="24"/>
                <w:szCs w:val="24"/>
              </w:rPr>
            </w:pPr>
          </w:p>
        </w:tc>
      </w:tr>
      <w:tr w14:paraId="1D118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nil"/>
              <w:left w:val="single" w:color="auto" w:sz="4" w:space="0"/>
              <w:bottom w:val="single" w:color="auto" w:sz="4" w:space="0"/>
              <w:right w:val="single" w:color="auto" w:sz="4" w:space="0"/>
            </w:tcBorders>
            <w:vAlign w:val="center"/>
          </w:tcPr>
          <w:p w14:paraId="13D0E58F">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30C3B73A">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023ACF6E">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全旗水产品现场采样检测、燃油、差旅费</w:t>
            </w:r>
          </w:p>
        </w:tc>
        <w:tc>
          <w:tcPr>
            <w:tcW w:w="812" w:type="pct"/>
            <w:tcBorders>
              <w:top w:val="single" w:color="auto" w:sz="4" w:space="0"/>
              <w:left w:val="single" w:color="auto" w:sz="4" w:space="0"/>
              <w:bottom w:val="single" w:color="auto" w:sz="4" w:space="0"/>
              <w:right w:val="single" w:color="auto" w:sz="4" w:space="0"/>
            </w:tcBorders>
            <w:vAlign w:val="center"/>
          </w:tcPr>
          <w:p w14:paraId="78640F9A">
            <w:pPr>
              <w:autoSpaceDE w:val="0"/>
              <w:adjustRightInd w:val="0"/>
              <w:snapToGrid w:val="0"/>
              <w:spacing w:line="560" w:lineRule="exact"/>
              <w:jc w:val="center"/>
              <w:rPr>
                <w:rFonts w:ascii="Times New Roman" w:hAnsi="Times New Roman" w:eastAsia="仿宋"/>
                <w:kern w:val="2"/>
                <w:sz w:val="24"/>
                <w:szCs w:val="24"/>
              </w:rPr>
            </w:pPr>
            <w:r>
              <w:rPr>
                <w:rFonts w:hint="eastAsia" w:ascii="Times New Roman" w:hAnsi="Times New Roman" w:eastAsia="仿宋"/>
                <w:kern w:val="0"/>
                <w:sz w:val="24"/>
                <w:szCs w:val="24"/>
                <w:lang w:val="en-US" w:eastAsia="zh-CN"/>
              </w:rPr>
              <w:t>1</w:t>
            </w:r>
            <w:r>
              <w:rPr>
                <w:rFonts w:ascii="Times New Roman" w:hAnsi="Times New Roman" w:eastAsia="仿宋"/>
                <w:kern w:val="0"/>
                <w:sz w:val="24"/>
                <w:szCs w:val="24"/>
              </w:rPr>
              <w:t>.0</w:t>
            </w:r>
          </w:p>
        </w:tc>
        <w:tc>
          <w:tcPr>
            <w:tcW w:w="486" w:type="pct"/>
            <w:tcBorders>
              <w:top w:val="single" w:color="auto" w:sz="4" w:space="0"/>
              <w:left w:val="single" w:color="auto" w:sz="4" w:space="0"/>
              <w:bottom w:val="single" w:color="auto" w:sz="4" w:space="0"/>
              <w:right w:val="single" w:color="auto" w:sz="4" w:space="0"/>
            </w:tcBorders>
            <w:vAlign w:val="center"/>
          </w:tcPr>
          <w:p w14:paraId="0763DDE0">
            <w:pPr>
              <w:autoSpaceDE w:val="0"/>
              <w:adjustRightInd w:val="0"/>
              <w:snapToGrid w:val="0"/>
              <w:spacing w:line="560" w:lineRule="exact"/>
              <w:jc w:val="center"/>
              <w:rPr>
                <w:rFonts w:ascii="Times New Roman" w:hAnsi="Times New Roman" w:eastAsia="仿宋"/>
                <w:kern w:val="2"/>
                <w:sz w:val="24"/>
                <w:szCs w:val="24"/>
              </w:rPr>
            </w:pPr>
          </w:p>
        </w:tc>
      </w:tr>
      <w:tr w14:paraId="66814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nil"/>
              <w:left w:val="single" w:color="auto" w:sz="4" w:space="0"/>
              <w:bottom w:val="single" w:color="auto" w:sz="4" w:space="0"/>
              <w:right w:val="single" w:color="auto" w:sz="4" w:space="0"/>
            </w:tcBorders>
            <w:vAlign w:val="center"/>
          </w:tcPr>
          <w:p w14:paraId="68B28250">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6ACB04E3">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42F2C315">
            <w:pPr>
              <w:autoSpaceDE w:val="0"/>
              <w:adjustRightInd w:val="0"/>
              <w:snapToGrid w:val="0"/>
              <w:spacing w:line="560" w:lineRule="exact"/>
              <w:jc w:val="center"/>
              <w:rPr>
                <w:rFonts w:hint="eastAsia" w:ascii="Times New Roman" w:hAnsi="Times New Roman" w:eastAsia="仿宋"/>
                <w:kern w:val="2"/>
                <w:sz w:val="24"/>
                <w:szCs w:val="24"/>
                <w:lang w:eastAsia="zh-CN"/>
              </w:rPr>
            </w:pPr>
            <w:r>
              <w:rPr>
                <w:rFonts w:ascii="仿宋" w:hAnsi="仿宋" w:eastAsia="仿宋"/>
                <w:kern w:val="0"/>
                <w:sz w:val="24"/>
                <w:szCs w:val="24"/>
              </w:rPr>
              <w:t>申报</w:t>
            </w:r>
            <w:r>
              <w:rPr>
                <w:rFonts w:ascii="Times New Roman" w:hAnsi="Times New Roman" w:eastAsia="仿宋"/>
                <w:kern w:val="0"/>
                <w:sz w:val="24"/>
                <w:szCs w:val="24"/>
              </w:rPr>
              <w:t>“</w:t>
            </w:r>
            <w:r>
              <w:rPr>
                <w:rFonts w:ascii="仿宋" w:hAnsi="仿宋" w:eastAsia="仿宋"/>
                <w:kern w:val="0"/>
                <w:sz w:val="24"/>
                <w:szCs w:val="24"/>
              </w:rPr>
              <w:t>鄂伦春细鳞鱼</w:t>
            </w:r>
            <w:r>
              <w:rPr>
                <w:rFonts w:ascii="Times New Roman" w:hAnsi="Times New Roman" w:eastAsia="仿宋"/>
                <w:kern w:val="0"/>
                <w:sz w:val="24"/>
                <w:szCs w:val="24"/>
              </w:rPr>
              <w:t>”</w:t>
            </w:r>
            <w:r>
              <w:rPr>
                <w:rFonts w:ascii="仿宋" w:hAnsi="仿宋" w:eastAsia="仿宋"/>
                <w:kern w:val="0"/>
                <w:sz w:val="24"/>
                <w:szCs w:val="24"/>
              </w:rPr>
              <w:t>全国名特优新农产品</w:t>
            </w:r>
            <w:r>
              <w:rPr>
                <w:rFonts w:hint="eastAsia" w:ascii="仿宋" w:hAnsi="仿宋" w:eastAsia="仿宋"/>
                <w:kern w:val="0"/>
                <w:sz w:val="24"/>
                <w:szCs w:val="24"/>
                <w:lang w:eastAsia="zh-CN"/>
              </w:rPr>
              <w:t>，</w:t>
            </w:r>
            <w:r>
              <w:rPr>
                <w:rFonts w:ascii="仿宋" w:hAnsi="仿宋" w:eastAsia="仿宋"/>
                <w:kern w:val="0"/>
                <w:sz w:val="24"/>
                <w:szCs w:val="24"/>
              </w:rPr>
              <w:t>科普宣传</w:t>
            </w:r>
          </w:p>
        </w:tc>
        <w:tc>
          <w:tcPr>
            <w:tcW w:w="812" w:type="pct"/>
            <w:tcBorders>
              <w:top w:val="single" w:color="auto" w:sz="4" w:space="0"/>
              <w:left w:val="single" w:color="auto" w:sz="4" w:space="0"/>
              <w:bottom w:val="single" w:color="auto" w:sz="4" w:space="0"/>
              <w:right w:val="single" w:color="auto" w:sz="4" w:space="0"/>
            </w:tcBorders>
            <w:vAlign w:val="center"/>
          </w:tcPr>
          <w:p w14:paraId="7658F07B">
            <w:pPr>
              <w:autoSpaceDE w:val="0"/>
              <w:adjustRightInd w:val="0"/>
              <w:snapToGrid w:val="0"/>
              <w:spacing w:line="560" w:lineRule="exact"/>
              <w:jc w:val="center"/>
              <w:rPr>
                <w:rFonts w:ascii="Times New Roman" w:hAnsi="Times New Roman" w:eastAsia="仿宋"/>
                <w:kern w:val="2"/>
                <w:sz w:val="24"/>
                <w:szCs w:val="24"/>
              </w:rPr>
            </w:pPr>
            <w:r>
              <w:rPr>
                <w:rFonts w:ascii="Times New Roman" w:hAnsi="Times New Roman" w:eastAsia="仿宋"/>
                <w:kern w:val="0"/>
                <w:sz w:val="24"/>
                <w:szCs w:val="24"/>
              </w:rPr>
              <w:t>1.5</w:t>
            </w:r>
          </w:p>
        </w:tc>
        <w:tc>
          <w:tcPr>
            <w:tcW w:w="486" w:type="pct"/>
            <w:tcBorders>
              <w:top w:val="single" w:color="auto" w:sz="4" w:space="0"/>
              <w:left w:val="single" w:color="auto" w:sz="4" w:space="0"/>
              <w:bottom w:val="single" w:color="auto" w:sz="4" w:space="0"/>
              <w:right w:val="single" w:color="auto" w:sz="4" w:space="0"/>
            </w:tcBorders>
            <w:vAlign w:val="center"/>
          </w:tcPr>
          <w:p w14:paraId="7E53A7B2">
            <w:pPr>
              <w:autoSpaceDE w:val="0"/>
              <w:adjustRightInd w:val="0"/>
              <w:snapToGrid w:val="0"/>
              <w:spacing w:line="560" w:lineRule="exact"/>
              <w:jc w:val="center"/>
              <w:rPr>
                <w:rFonts w:ascii="Times New Roman" w:hAnsi="Times New Roman" w:eastAsia="仿宋"/>
                <w:kern w:val="2"/>
                <w:sz w:val="24"/>
                <w:szCs w:val="24"/>
              </w:rPr>
            </w:pPr>
          </w:p>
        </w:tc>
      </w:tr>
      <w:tr w14:paraId="61833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04BC7A05">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4E0B7241">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4D1A335B">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合计</w:t>
            </w:r>
          </w:p>
        </w:tc>
        <w:tc>
          <w:tcPr>
            <w:tcW w:w="812" w:type="pct"/>
            <w:tcBorders>
              <w:top w:val="single" w:color="auto" w:sz="4" w:space="0"/>
              <w:left w:val="single" w:color="auto" w:sz="4" w:space="0"/>
              <w:bottom w:val="single" w:color="auto" w:sz="4" w:space="0"/>
              <w:right w:val="single" w:color="auto" w:sz="4" w:space="0"/>
            </w:tcBorders>
            <w:vAlign w:val="center"/>
          </w:tcPr>
          <w:p w14:paraId="4F313A49">
            <w:pPr>
              <w:autoSpaceDE w:val="0"/>
              <w:adjustRightInd w:val="0"/>
              <w:snapToGrid w:val="0"/>
              <w:spacing w:line="560" w:lineRule="exact"/>
              <w:jc w:val="center"/>
              <w:rPr>
                <w:rFonts w:ascii="Times New Roman" w:hAnsi="Times New Roman" w:eastAsia="仿宋"/>
                <w:kern w:val="2"/>
                <w:sz w:val="24"/>
                <w:szCs w:val="24"/>
              </w:rPr>
            </w:pPr>
            <w:r>
              <w:rPr>
                <w:rFonts w:hint="eastAsia" w:ascii="Times New Roman" w:hAnsi="Times New Roman" w:eastAsia="仿宋"/>
                <w:kern w:val="0"/>
                <w:sz w:val="24"/>
                <w:szCs w:val="24"/>
                <w:lang w:val="en-US" w:eastAsia="zh-CN"/>
              </w:rPr>
              <w:t>6</w:t>
            </w:r>
            <w:r>
              <w:rPr>
                <w:rFonts w:ascii="Times New Roman" w:hAnsi="Times New Roman" w:eastAsia="仿宋"/>
                <w:kern w:val="0"/>
                <w:sz w:val="24"/>
                <w:szCs w:val="24"/>
              </w:rPr>
              <w:t>.0</w:t>
            </w:r>
          </w:p>
        </w:tc>
        <w:tc>
          <w:tcPr>
            <w:tcW w:w="486" w:type="pct"/>
            <w:tcBorders>
              <w:top w:val="single" w:color="auto" w:sz="4" w:space="0"/>
              <w:left w:val="single" w:color="auto" w:sz="4" w:space="0"/>
              <w:bottom w:val="single" w:color="auto" w:sz="4" w:space="0"/>
              <w:right w:val="single" w:color="auto" w:sz="4" w:space="0"/>
            </w:tcBorders>
            <w:vAlign w:val="center"/>
          </w:tcPr>
          <w:p w14:paraId="688E9C7D">
            <w:pPr>
              <w:autoSpaceDE w:val="0"/>
              <w:adjustRightInd w:val="0"/>
              <w:snapToGrid w:val="0"/>
              <w:spacing w:line="560" w:lineRule="exact"/>
              <w:jc w:val="center"/>
              <w:rPr>
                <w:rFonts w:ascii="Times New Roman" w:hAnsi="Times New Roman" w:eastAsia="仿宋"/>
                <w:kern w:val="2"/>
                <w:sz w:val="24"/>
                <w:szCs w:val="24"/>
              </w:rPr>
            </w:pPr>
          </w:p>
        </w:tc>
      </w:tr>
      <w:tr w14:paraId="2B43C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3" w:type="pct"/>
            <w:vMerge w:val="restart"/>
            <w:tcBorders>
              <w:top w:val="nil"/>
              <w:left w:val="single" w:color="auto" w:sz="4" w:space="0"/>
              <w:bottom w:val="single" w:color="auto" w:sz="4" w:space="0"/>
              <w:right w:val="single" w:color="auto" w:sz="4" w:space="0"/>
            </w:tcBorders>
            <w:vAlign w:val="center"/>
          </w:tcPr>
          <w:p w14:paraId="63396BB0">
            <w:pPr>
              <w:autoSpaceDE w:val="0"/>
              <w:adjustRightInd w:val="0"/>
              <w:snapToGrid w:val="0"/>
              <w:spacing w:line="560" w:lineRule="exact"/>
              <w:jc w:val="center"/>
              <w:rPr>
                <w:rFonts w:ascii="Times New Roman" w:hAnsi="Times New Roman" w:eastAsia="仿宋"/>
                <w:kern w:val="2"/>
                <w:sz w:val="24"/>
                <w:szCs w:val="24"/>
              </w:rPr>
            </w:pPr>
            <w:r>
              <w:rPr>
                <w:rFonts w:ascii="Times New Roman" w:hAnsi="Times New Roman" w:eastAsia="仿宋"/>
                <w:kern w:val="0"/>
                <w:sz w:val="24"/>
                <w:szCs w:val="24"/>
              </w:rPr>
              <w:t>3</w:t>
            </w:r>
          </w:p>
        </w:tc>
        <w:tc>
          <w:tcPr>
            <w:tcW w:w="994" w:type="pct"/>
            <w:vMerge w:val="restart"/>
            <w:tcBorders>
              <w:top w:val="nil"/>
              <w:left w:val="single" w:color="auto" w:sz="4" w:space="0"/>
              <w:bottom w:val="single" w:color="auto" w:sz="4" w:space="0"/>
              <w:right w:val="single" w:color="auto" w:sz="4" w:space="0"/>
            </w:tcBorders>
            <w:vAlign w:val="center"/>
          </w:tcPr>
          <w:p w14:paraId="19E64D2F">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旗农牧业综合行政执法大队</w:t>
            </w:r>
          </w:p>
        </w:tc>
        <w:tc>
          <w:tcPr>
            <w:tcW w:w="2173" w:type="pct"/>
            <w:tcBorders>
              <w:top w:val="single" w:color="auto" w:sz="4" w:space="0"/>
              <w:left w:val="single" w:color="auto" w:sz="4" w:space="0"/>
              <w:bottom w:val="single" w:color="auto" w:sz="4" w:space="0"/>
              <w:right w:val="single" w:color="auto" w:sz="4" w:space="0"/>
            </w:tcBorders>
            <w:vAlign w:val="center"/>
          </w:tcPr>
          <w:p w14:paraId="39CB0EDE">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增配执法装备，购进执法记录仪、强光手电、肩灯、车轮锁、对讲机、喊话器、夜视仪、</w:t>
            </w:r>
            <w:r>
              <w:rPr>
                <w:rFonts w:ascii="Times New Roman" w:hAnsi="Times New Roman" w:eastAsia="仿宋"/>
                <w:kern w:val="0"/>
                <w:sz w:val="24"/>
                <w:szCs w:val="24"/>
              </w:rPr>
              <w:t>GPS</w:t>
            </w:r>
            <w:r>
              <w:rPr>
                <w:rFonts w:ascii="仿宋" w:hAnsi="仿宋" w:eastAsia="仿宋"/>
                <w:kern w:val="0"/>
                <w:sz w:val="24"/>
                <w:szCs w:val="24"/>
              </w:rPr>
              <w:t>、手持平板电脑、智能红外光电摄像仪、人员警戒雷达</w:t>
            </w:r>
          </w:p>
        </w:tc>
        <w:tc>
          <w:tcPr>
            <w:tcW w:w="812" w:type="pct"/>
            <w:tcBorders>
              <w:top w:val="single" w:color="auto" w:sz="4" w:space="0"/>
              <w:left w:val="single" w:color="auto" w:sz="4" w:space="0"/>
              <w:bottom w:val="single" w:color="auto" w:sz="4" w:space="0"/>
              <w:right w:val="single" w:color="auto" w:sz="4" w:space="0"/>
            </w:tcBorders>
            <w:vAlign w:val="center"/>
          </w:tcPr>
          <w:p w14:paraId="7AA4509B">
            <w:pPr>
              <w:autoSpaceDE w:val="0"/>
              <w:adjustRightInd w:val="0"/>
              <w:snapToGrid w:val="0"/>
              <w:spacing w:line="560" w:lineRule="exact"/>
              <w:jc w:val="center"/>
              <w:rPr>
                <w:rFonts w:ascii="Times New Roman" w:hAnsi="Times New Roman" w:eastAsia="仿宋"/>
                <w:kern w:val="2"/>
                <w:sz w:val="24"/>
                <w:szCs w:val="24"/>
              </w:rPr>
            </w:pPr>
            <w:r>
              <w:rPr>
                <w:rFonts w:hint="eastAsia" w:ascii="Times New Roman" w:hAnsi="Times New Roman" w:eastAsia="仿宋"/>
                <w:kern w:val="0"/>
                <w:sz w:val="24"/>
                <w:szCs w:val="24"/>
                <w:lang w:val="en-US" w:eastAsia="zh-CN"/>
              </w:rPr>
              <w:t>4</w:t>
            </w:r>
            <w:r>
              <w:rPr>
                <w:rFonts w:ascii="Times New Roman" w:hAnsi="Times New Roman" w:eastAsia="仿宋"/>
                <w:kern w:val="0"/>
                <w:sz w:val="24"/>
                <w:szCs w:val="24"/>
              </w:rPr>
              <w:t>.0</w:t>
            </w:r>
          </w:p>
        </w:tc>
        <w:tc>
          <w:tcPr>
            <w:tcW w:w="486" w:type="pct"/>
            <w:tcBorders>
              <w:top w:val="single" w:color="auto" w:sz="4" w:space="0"/>
              <w:left w:val="single" w:color="auto" w:sz="4" w:space="0"/>
              <w:bottom w:val="single" w:color="auto" w:sz="4" w:space="0"/>
              <w:right w:val="single" w:color="auto" w:sz="4" w:space="0"/>
            </w:tcBorders>
            <w:vAlign w:val="center"/>
          </w:tcPr>
          <w:p w14:paraId="6CAE4C39">
            <w:pPr>
              <w:autoSpaceDE w:val="0"/>
              <w:adjustRightInd w:val="0"/>
              <w:snapToGrid w:val="0"/>
              <w:spacing w:line="560" w:lineRule="exact"/>
              <w:jc w:val="center"/>
              <w:rPr>
                <w:rFonts w:ascii="Times New Roman" w:hAnsi="Times New Roman" w:eastAsia="仿宋"/>
                <w:kern w:val="2"/>
                <w:sz w:val="24"/>
                <w:szCs w:val="24"/>
              </w:rPr>
            </w:pPr>
          </w:p>
        </w:tc>
      </w:tr>
      <w:tr w14:paraId="37180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nil"/>
              <w:left w:val="single" w:color="auto" w:sz="4" w:space="0"/>
              <w:bottom w:val="single" w:color="auto" w:sz="4" w:space="0"/>
              <w:right w:val="single" w:color="auto" w:sz="4" w:space="0"/>
            </w:tcBorders>
            <w:vAlign w:val="center"/>
          </w:tcPr>
          <w:p w14:paraId="569189D1">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0BC39810">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6822E8A8">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执法车辆通行燃油消耗费、人员差旅费</w:t>
            </w:r>
          </w:p>
        </w:tc>
        <w:tc>
          <w:tcPr>
            <w:tcW w:w="812" w:type="pct"/>
            <w:tcBorders>
              <w:top w:val="single" w:color="auto" w:sz="4" w:space="0"/>
              <w:left w:val="single" w:color="auto" w:sz="4" w:space="0"/>
              <w:bottom w:val="single" w:color="auto" w:sz="4" w:space="0"/>
              <w:right w:val="single" w:color="auto" w:sz="4" w:space="0"/>
            </w:tcBorders>
            <w:vAlign w:val="center"/>
          </w:tcPr>
          <w:p w14:paraId="1C618284">
            <w:pPr>
              <w:autoSpaceDE w:val="0"/>
              <w:adjustRightInd w:val="0"/>
              <w:snapToGrid w:val="0"/>
              <w:spacing w:line="560" w:lineRule="exact"/>
              <w:jc w:val="center"/>
              <w:rPr>
                <w:rFonts w:hint="default" w:ascii="Times New Roman" w:hAnsi="Times New Roman" w:eastAsia="仿宋"/>
                <w:kern w:val="2"/>
                <w:sz w:val="24"/>
                <w:szCs w:val="24"/>
                <w:lang w:val="en-US" w:eastAsia="zh-CN"/>
              </w:rPr>
            </w:pPr>
            <w:r>
              <w:rPr>
                <w:rFonts w:ascii="Times New Roman" w:hAnsi="Times New Roman" w:eastAsia="仿宋"/>
                <w:kern w:val="0"/>
                <w:sz w:val="24"/>
                <w:szCs w:val="24"/>
              </w:rPr>
              <w:t>1</w:t>
            </w:r>
            <w:r>
              <w:rPr>
                <w:rFonts w:hint="eastAsia" w:ascii="Times New Roman" w:hAnsi="Times New Roman" w:eastAsia="仿宋"/>
                <w:kern w:val="0"/>
                <w:sz w:val="24"/>
                <w:szCs w:val="24"/>
                <w:lang w:eastAsia="zh-CN"/>
              </w:rPr>
              <w:t>.</w:t>
            </w:r>
            <w:r>
              <w:rPr>
                <w:rFonts w:hint="eastAsia" w:ascii="Times New Roman" w:hAnsi="Times New Roman" w:eastAsia="仿宋"/>
                <w:kern w:val="0"/>
                <w:sz w:val="24"/>
                <w:szCs w:val="24"/>
                <w:lang w:val="en-US" w:eastAsia="zh-CN"/>
              </w:rPr>
              <w:t>0</w:t>
            </w:r>
          </w:p>
        </w:tc>
        <w:tc>
          <w:tcPr>
            <w:tcW w:w="486" w:type="pct"/>
            <w:tcBorders>
              <w:top w:val="single" w:color="auto" w:sz="4" w:space="0"/>
              <w:left w:val="single" w:color="auto" w:sz="4" w:space="0"/>
              <w:bottom w:val="single" w:color="auto" w:sz="4" w:space="0"/>
              <w:right w:val="single" w:color="auto" w:sz="4" w:space="0"/>
            </w:tcBorders>
            <w:vAlign w:val="center"/>
          </w:tcPr>
          <w:p w14:paraId="0CF92843">
            <w:pPr>
              <w:autoSpaceDE w:val="0"/>
              <w:adjustRightInd w:val="0"/>
              <w:snapToGrid w:val="0"/>
              <w:spacing w:line="560" w:lineRule="exact"/>
              <w:jc w:val="center"/>
              <w:rPr>
                <w:rFonts w:ascii="Times New Roman" w:hAnsi="Times New Roman" w:eastAsia="仿宋"/>
                <w:kern w:val="2"/>
                <w:sz w:val="24"/>
                <w:szCs w:val="24"/>
              </w:rPr>
            </w:pPr>
          </w:p>
        </w:tc>
      </w:tr>
      <w:tr w14:paraId="37C3A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nil"/>
              <w:left w:val="single" w:color="auto" w:sz="4" w:space="0"/>
              <w:bottom w:val="single" w:color="auto" w:sz="4" w:space="0"/>
              <w:right w:val="single" w:color="auto" w:sz="4" w:space="0"/>
            </w:tcBorders>
            <w:vAlign w:val="center"/>
          </w:tcPr>
          <w:p w14:paraId="0FA86811">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77D16CCE">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5621249C">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印发宣传单、悬挂条幅、张贴</w:t>
            </w:r>
            <w:r>
              <w:rPr>
                <w:rFonts w:ascii="Times New Roman" w:hAnsi="Times New Roman" w:eastAsia="仿宋"/>
                <w:kern w:val="0"/>
                <w:sz w:val="24"/>
                <w:szCs w:val="24"/>
              </w:rPr>
              <w:t>“</w:t>
            </w:r>
            <w:r>
              <w:rPr>
                <w:rFonts w:ascii="仿宋" w:hAnsi="仿宋" w:eastAsia="仿宋"/>
                <w:kern w:val="0"/>
                <w:sz w:val="24"/>
                <w:szCs w:val="24"/>
              </w:rPr>
              <w:t>禁渔通告</w:t>
            </w:r>
            <w:r>
              <w:rPr>
                <w:rFonts w:ascii="Times New Roman" w:hAnsi="Times New Roman" w:eastAsia="仿宋"/>
                <w:kern w:val="0"/>
                <w:sz w:val="24"/>
                <w:szCs w:val="24"/>
              </w:rPr>
              <w:t>”</w:t>
            </w:r>
            <w:r>
              <w:rPr>
                <w:rFonts w:ascii="仿宋" w:hAnsi="仿宋" w:eastAsia="仿宋"/>
                <w:kern w:val="0"/>
                <w:sz w:val="24"/>
                <w:szCs w:val="24"/>
              </w:rPr>
              <w:t>等宣传材料</w:t>
            </w:r>
          </w:p>
        </w:tc>
        <w:tc>
          <w:tcPr>
            <w:tcW w:w="812" w:type="pct"/>
            <w:tcBorders>
              <w:top w:val="single" w:color="auto" w:sz="4" w:space="0"/>
              <w:left w:val="single" w:color="auto" w:sz="4" w:space="0"/>
              <w:bottom w:val="single" w:color="auto" w:sz="4" w:space="0"/>
              <w:right w:val="single" w:color="auto" w:sz="4" w:space="0"/>
            </w:tcBorders>
            <w:vAlign w:val="center"/>
          </w:tcPr>
          <w:p w14:paraId="3DBC396E">
            <w:pPr>
              <w:autoSpaceDE w:val="0"/>
              <w:adjustRightInd w:val="0"/>
              <w:snapToGrid w:val="0"/>
              <w:spacing w:line="560" w:lineRule="exact"/>
              <w:jc w:val="center"/>
              <w:rPr>
                <w:rFonts w:ascii="Times New Roman" w:hAnsi="Times New Roman" w:eastAsia="仿宋"/>
                <w:kern w:val="2"/>
                <w:sz w:val="24"/>
                <w:szCs w:val="24"/>
              </w:rPr>
            </w:pPr>
            <w:r>
              <w:rPr>
                <w:rFonts w:ascii="Times New Roman" w:hAnsi="Times New Roman" w:eastAsia="仿宋"/>
                <w:kern w:val="0"/>
                <w:sz w:val="24"/>
                <w:szCs w:val="24"/>
              </w:rPr>
              <w:t>1.0</w:t>
            </w:r>
          </w:p>
        </w:tc>
        <w:tc>
          <w:tcPr>
            <w:tcW w:w="486" w:type="pct"/>
            <w:tcBorders>
              <w:top w:val="single" w:color="auto" w:sz="4" w:space="0"/>
              <w:left w:val="single" w:color="auto" w:sz="4" w:space="0"/>
              <w:bottom w:val="single" w:color="auto" w:sz="4" w:space="0"/>
              <w:right w:val="single" w:color="auto" w:sz="4" w:space="0"/>
            </w:tcBorders>
            <w:vAlign w:val="center"/>
          </w:tcPr>
          <w:p w14:paraId="48F7ED3A">
            <w:pPr>
              <w:autoSpaceDE w:val="0"/>
              <w:adjustRightInd w:val="0"/>
              <w:snapToGrid w:val="0"/>
              <w:spacing w:line="560" w:lineRule="exact"/>
              <w:jc w:val="center"/>
              <w:rPr>
                <w:rFonts w:ascii="Times New Roman" w:hAnsi="Times New Roman" w:eastAsia="仿宋"/>
                <w:kern w:val="2"/>
                <w:sz w:val="24"/>
                <w:szCs w:val="24"/>
              </w:rPr>
            </w:pPr>
          </w:p>
        </w:tc>
      </w:tr>
      <w:tr w14:paraId="79FCD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1A4EDA6E">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7A37976E">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7950B11D">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无人机培训、渔政执法人员专项培训</w:t>
            </w:r>
          </w:p>
        </w:tc>
        <w:tc>
          <w:tcPr>
            <w:tcW w:w="812" w:type="pct"/>
            <w:tcBorders>
              <w:top w:val="single" w:color="auto" w:sz="4" w:space="0"/>
              <w:left w:val="single" w:color="auto" w:sz="4" w:space="0"/>
              <w:bottom w:val="single" w:color="auto" w:sz="4" w:space="0"/>
              <w:right w:val="single" w:color="auto" w:sz="4" w:space="0"/>
            </w:tcBorders>
            <w:vAlign w:val="center"/>
          </w:tcPr>
          <w:p w14:paraId="4F7B2E2F">
            <w:pPr>
              <w:autoSpaceDE w:val="0"/>
              <w:adjustRightInd w:val="0"/>
              <w:snapToGrid w:val="0"/>
              <w:spacing w:line="560" w:lineRule="exact"/>
              <w:jc w:val="center"/>
              <w:rPr>
                <w:rFonts w:hint="default" w:ascii="Times New Roman" w:hAnsi="Times New Roman" w:eastAsia="仿宋"/>
                <w:kern w:val="2"/>
                <w:sz w:val="24"/>
                <w:szCs w:val="24"/>
                <w:lang w:val="en-US" w:eastAsia="zh-CN"/>
              </w:rPr>
            </w:pPr>
            <w:r>
              <w:rPr>
                <w:rFonts w:ascii="Times New Roman" w:hAnsi="Times New Roman" w:eastAsia="仿宋"/>
                <w:kern w:val="0"/>
                <w:sz w:val="24"/>
                <w:szCs w:val="24"/>
              </w:rPr>
              <w:t>1</w:t>
            </w:r>
            <w:r>
              <w:rPr>
                <w:rFonts w:hint="eastAsia" w:ascii="Times New Roman" w:hAnsi="Times New Roman" w:eastAsia="仿宋"/>
                <w:kern w:val="0"/>
                <w:sz w:val="24"/>
                <w:szCs w:val="24"/>
                <w:lang w:val="en-US" w:eastAsia="zh-CN"/>
              </w:rPr>
              <w:t>.0</w:t>
            </w:r>
          </w:p>
        </w:tc>
        <w:tc>
          <w:tcPr>
            <w:tcW w:w="486" w:type="pct"/>
            <w:tcBorders>
              <w:top w:val="single" w:color="auto" w:sz="4" w:space="0"/>
              <w:left w:val="single" w:color="auto" w:sz="4" w:space="0"/>
              <w:bottom w:val="single" w:color="auto" w:sz="4" w:space="0"/>
              <w:right w:val="single" w:color="auto" w:sz="4" w:space="0"/>
            </w:tcBorders>
            <w:vAlign w:val="center"/>
          </w:tcPr>
          <w:p w14:paraId="75A185C5">
            <w:pPr>
              <w:autoSpaceDE w:val="0"/>
              <w:adjustRightInd w:val="0"/>
              <w:snapToGrid w:val="0"/>
              <w:spacing w:line="560" w:lineRule="exact"/>
              <w:jc w:val="center"/>
              <w:rPr>
                <w:rFonts w:ascii="Times New Roman" w:hAnsi="Times New Roman" w:eastAsia="仿宋"/>
                <w:kern w:val="2"/>
                <w:sz w:val="24"/>
                <w:szCs w:val="24"/>
              </w:rPr>
            </w:pPr>
          </w:p>
        </w:tc>
      </w:tr>
      <w:tr w14:paraId="14C58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2C1E96EF">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299B1E18">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6A29DC9C">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合计</w:t>
            </w:r>
          </w:p>
        </w:tc>
        <w:tc>
          <w:tcPr>
            <w:tcW w:w="812" w:type="pct"/>
            <w:tcBorders>
              <w:top w:val="single" w:color="auto" w:sz="4" w:space="0"/>
              <w:left w:val="single" w:color="auto" w:sz="4" w:space="0"/>
              <w:bottom w:val="single" w:color="auto" w:sz="4" w:space="0"/>
              <w:right w:val="single" w:color="auto" w:sz="4" w:space="0"/>
            </w:tcBorders>
            <w:vAlign w:val="center"/>
          </w:tcPr>
          <w:p w14:paraId="206747E7">
            <w:pPr>
              <w:autoSpaceDE w:val="0"/>
              <w:adjustRightInd w:val="0"/>
              <w:snapToGrid w:val="0"/>
              <w:spacing w:line="560" w:lineRule="exact"/>
              <w:jc w:val="center"/>
              <w:rPr>
                <w:rFonts w:hint="default" w:ascii="Times New Roman" w:hAnsi="Times New Roman" w:eastAsia="仿宋"/>
                <w:kern w:val="2"/>
                <w:sz w:val="24"/>
                <w:szCs w:val="24"/>
                <w:lang w:val="en-US" w:eastAsia="zh-CN"/>
              </w:rPr>
            </w:pPr>
            <w:r>
              <w:rPr>
                <w:rFonts w:hint="eastAsia" w:ascii="Times New Roman" w:hAnsi="Times New Roman" w:eastAsia="仿宋"/>
                <w:kern w:val="0"/>
                <w:sz w:val="24"/>
                <w:szCs w:val="24"/>
                <w:lang w:val="en-US" w:eastAsia="zh-CN"/>
              </w:rPr>
              <w:t>7.0</w:t>
            </w:r>
          </w:p>
        </w:tc>
        <w:tc>
          <w:tcPr>
            <w:tcW w:w="486" w:type="pct"/>
            <w:tcBorders>
              <w:top w:val="single" w:color="auto" w:sz="4" w:space="0"/>
              <w:left w:val="single" w:color="auto" w:sz="4" w:space="0"/>
              <w:bottom w:val="single" w:color="auto" w:sz="4" w:space="0"/>
              <w:right w:val="single" w:color="auto" w:sz="4" w:space="0"/>
            </w:tcBorders>
            <w:vAlign w:val="center"/>
          </w:tcPr>
          <w:p w14:paraId="7BE6F69F">
            <w:pPr>
              <w:autoSpaceDE w:val="0"/>
              <w:adjustRightInd w:val="0"/>
              <w:snapToGrid w:val="0"/>
              <w:spacing w:line="560" w:lineRule="exact"/>
              <w:jc w:val="center"/>
              <w:rPr>
                <w:rFonts w:ascii="Times New Roman" w:hAnsi="Times New Roman" w:eastAsia="仿宋"/>
                <w:kern w:val="2"/>
                <w:sz w:val="24"/>
                <w:szCs w:val="24"/>
              </w:rPr>
            </w:pPr>
          </w:p>
        </w:tc>
      </w:tr>
      <w:tr w14:paraId="13140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3" w:type="pct"/>
            <w:vMerge w:val="restart"/>
            <w:tcBorders>
              <w:top w:val="nil"/>
              <w:left w:val="single" w:color="auto" w:sz="4" w:space="0"/>
              <w:bottom w:val="single" w:color="auto" w:sz="4" w:space="0"/>
              <w:right w:val="single" w:color="auto" w:sz="4" w:space="0"/>
            </w:tcBorders>
            <w:vAlign w:val="center"/>
          </w:tcPr>
          <w:p w14:paraId="3C3E59DA">
            <w:pPr>
              <w:autoSpaceDE w:val="0"/>
              <w:adjustRightInd w:val="0"/>
              <w:snapToGrid w:val="0"/>
              <w:spacing w:line="560" w:lineRule="exact"/>
              <w:jc w:val="center"/>
              <w:rPr>
                <w:rFonts w:ascii="Times New Roman" w:hAnsi="Times New Roman" w:eastAsia="仿宋"/>
                <w:kern w:val="2"/>
                <w:sz w:val="24"/>
                <w:szCs w:val="24"/>
              </w:rPr>
            </w:pPr>
            <w:r>
              <w:rPr>
                <w:rFonts w:ascii="Times New Roman" w:hAnsi="Times New Roman" w:eastAsia="仿宋"/>
                <w:kern w:val="0"/>
                <w:sz w:val="24"/>
                <w:szCs w:val="24"/>
              </w:rPr>
              <w:t>4</w:t>
            </w:r>
          </w:p>
        </w:tc>
        <w:tc>
          <w:tcPr>
            <w:tcW w:w="994" w:type="pct"/>
            <w:vMerge w:val="restart"/>
            <w:tcBorders>
              <w:top w:val="nil"/>
              <w:left w:val="single" w:color="auto" w:sz="4" w:space="0"/>
              <w:bottom w:val="single" w:color="auto" w:sz="4" w:space="0"/>
              <w:right w:val="single" w:color="auto" w:sz="4" w:space="0"/>
            </w:tcBorders>
            <w:vAlign w:val="center"/>
          </w:tcPr>
          <w:p w14:paraId="75623AF7">
            <w:pPr>
              <w:autoSpaceDE w:val="0"/>
              <w:adjustRightInd w:val="0"/>
              <w:snapToGrid w:val="0"/>
              <w:spacing w:line="560" w:lineRule="exact"/>
              <w:jc w:val="center"/>
              <w:rPr>
                <w:rFonts w:ascii="Times New Roman" w:hAnsi="Times New Roman" w:eastAsia="仿宋"/>
                <w:kern w:val="2"/>
                <w:sz w:val="24"/>
                <w:szCs w:val="24"/>
              </w:rPr>
            </w:pPr>
            <w:r>
              <w:rPr>
                <w:rFonts w:hint="eastAsia" w:ascii="仿宋" w:hAnsi="仿宋" w:eastAsia="仿宋" w:cs="仿宋"/>
                <w:sz w:val="24"/>
                <w:szCs w:val="24"/>
                <w:lang w:val="en-US" w:eastAsia="zh-CN"/>
              </w:rPr>
              <w:t>阿里河镇渔业养殖户姚强</w:t>
            </w:r>
          </w:p>
        </w:tc>
        <w:tc>
          <w:tcPr>
            <w:tcW w:w="2173" w:type="pct"/>
            <w:tcBorders>
              <w:top w:val="single" w:color="auto" w:sz="4" w:space="0"/>
              <w:left w:val="single" w:color="auto" w:sz="4" w:space="0"/>
              <w:bottom w:val="single" w:color="auto" w:sz="4" w:space="0"/>
              <w:right w:val="single" w:color="auto" w:sz="4" w:space="0"/>
            </w:tcBorders>
            <w:vAlign w:val="center"/>
          </w:tcPr>
          <w:p w14:paraId="39452B10">
            <w:pPr>
              <w:autoSpaceDE w:val="0"/>
              <w:adjustRightInd w:val="0"/>
              <w:snapToGrid w:val="0"/>
              <w:spacing w:line="560" w:lineRule="exact"/>
              <w:jc w:val="center"/>
              <w:rPr>
                <w:rFonts w:hint="default" w:ascii="Times New Roman" w:hAnsi="Times New Roman" w:eastAsia="仿宋"/>
                <w:kern w:val="2"/>
                <w:sz w:val="24"/>
                <w:szCs w:val="24"/>
                <w:lang w:val="en-US" w:eastAsia="zh-CN"/>
              </w:rPr>
            </w:pPr>
            <w:r>
              <w:rPr>
                <w:rFonts w:hint="eastAsia" w:ascii="Times New Roman" w:hAnsi="Times New Roman" w:eastAsia="仿宋"/>
                <w:kern w:val="2"/>
                <w:sz w:val="24"/>
                <w:szCs w:val="24"/>
                <w:lang w:val="en-US" w:eastAsia="zh-CN"/>
              </w:rPr>
              <w:t>建设网箱2套</w:t>
            </w:r>
          </w:p>
        </w:tc>
        <w:tc>
          <w:tcPr>
            <w:tcW w:w="812" w:type="pct"/>
            <w:tcBorders>
              <w:top w:val="single" w:color="auto" w:sz="4" w:space="0"/>
              <w:left w:val="single" w:color="auto" w:sz="4" w:space="0"/>
              <w:bottom w:val="single" w:color="auto" w:sz="4" w:space="0"/>
              <w:right w:val="single" w:color="auto" w:sz="4" w:space="0"/>
            </w:tcBorders>
            <w:vAlign w:val="center"/>
          </w:tcPr>
          <w:p w14:paraId="285FAB6C">
            <w:pPr>
              <w:autoSpaceDE w:val="0"/>
              <w:adjustRightInd w:val="0"/>
              <w:snapToGrid w:val="0"/>
              <w:spacing w:line="560" w:lineRule="exact"/>
              <w:jc w:val="center"/>
              <w:rPr>
                <w:rFonts w:hint="default" w:ascii="Times New Roman" w:hAnsi="Times New Roman" w:eastAsia="仿宋"/>
                <w:kern w:val="2"/>
                <w:sz w:val="24"/>
                <w:szCs w:val="24"/>
                <w:lang w:val="en-US" w:eastAsia="zh-CN"/>
              </w:rPr>
            </w:pPr>
            <w:r>
              <w:rPr>
                <w:rFonts w:hint="eastAsia" w:ascii="Times New Roman" w:hAnsi="Times New Roman" w:eastAsia="仿宋"/>
                <w:kern w:val="0"/>
                <w:sz w:val="24"/>
                <w:szCs w:val="24"/>
                <w:lang w:val="en-US" w:eastAsia="zh-CN"/>
              </w:rPr>
              <w:t>5.75</w:t>
            </w:r>
          </w:p>
        </w:tc>
        <w:tc>
          <w:tcPr>
            <w:tcW w:w="486" w:type="pct"/>
            <w:tcBorders>
              <w:top w:val="single" w:color="auto" w:sz="4" w:space="0"/>
              <w:left w:val="single" w:color="auto" w:sz="4" w:space="0"/>
              <w:bottom w:val="single" w:color="auto" w:sz="4" w:space="0"/>
              <w:right w:val="single" w:color="auto" w:sz="4" w:space="0"/>
            </w:tcBorders>
            <w:vAlign w:val="center"/>
          </w:tcPr>
          <w:p w14:paraId="12D17915">
            <w:pPr>
              <w:autoSpaceDE w:val="0"/>
              <w:adjustRightInd w:val="0"/>
              <w:snapToGrid w:val="0"/>
              <w:spacing w:line="560" w:lineRule="exact"/>
              <w:jc w:val="center"/>
              <w:rPr>
                <w:rFonts w:ascii="Times New Roman" w:hAnsi="Times New Roman" w:eastAsia="仿宋"/>
                <w:kern w:val="2"/>
                <w:sz w:val="24"/>
                <w:szCs w:val="24"/>
              </w:rPr>
            </w:pPr>
          </w:p>
        </w:tc>
      </w:tr>
      <w:tr w14:paraId="2B904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02BA727E">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23DBEAB3">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012C9E70">
            <w:pPr>
              <w:autoSpaceDE w:val="0"/>
              <w:adjustRightInd w:val="0"/>
              <w:snapToGrid w:val="0"/>
              <w:spacing w:line="560" w:lineRule="exact"/>
              <w:jc w:val="center"/>
              <w:rPr>
                <w:rFonts w:hint="default" w:ascii="Times New Roman" w:hAnsi="Times New Roman" w:eastAsia="仿宋"/>
                <w:kern w:val="2"/>
                <w:sz w:val="24"/>
                <w:szCs w:val="24"/>
                <w:lang w:val="en-US" w:eastAsia="zh-CN"/>
              </w:rPr>
            </w:pPr>
            <w:r>
              <w:rPr>
                <w:rFonts w:hint="eastAsia" w:ascii="仿宋" w:hAnsi="仿宋" w:eastAsia="仿宋"/>
                <w:kern w:val="0"/>
                <w:sz w:val="24"/>
                <w:szCs w:val="24"/>
                <w:lang w:val="en-US" w:eastAsia="zh-CN"/>
              </w:rPr>
              <w:t>建设大棚2套</w:t>
            </w:r>
          </w:p>
        </w:tc>
        <w:tc>
          <w:tcPr>
            <w:tcW w:w="812" w:type="pct"/>
            <w:tcBorders>
              <w:top w:val="single" w:color="auto" w:sz="4" w:space="0"/>
              <w:left w:val="single" w:color="auto" w:sz="4" w:space="0"/>
              <w:bottom w:val="single" w:color="auto" w:sz="4" w:space="0"/>
              <w:right w:val="single" w:color="auto" w:sz="4" w:space="0"/>
            </w:tcBorders>
            <w:vAlign w:val="center"/>
          </w:tcPr>
          <w:p w14:paraId="5CCE5BA2">
            <w:pPr>
              <w:autoSpaceDE w:val="0"/>
              <w:adjustRightInd w:val="0"/>
              <w:snapToGrid w:val="0"/>
              <w:spacing w:line="560" w:lineRule="exact"/>
              <w:jc w:val="center"/>
              <w:rPr>
                <w:rFonts w:hint="default" w:ascii="Times New Roman" w:hAnsi="Times New Roman" w:eastAsia="仿宋"/>
                <w:kern w:val="2"/>
                <w:sz w:val="24"/>
                <w:szCs w:val="24"/>
                <w:lang w:val="en-US" w:eastAsia="zh-CN"/>
              </w:rPr>
            </w:pPr>
            <w:r>
              <w:rPr>
                <w:rFonts w:hint="eastAsia" w:ascii="Times New Roman" w:hAnsi="Times New Roman" w:eastAsia="仿宋"/>
                <w:kern w:val="0"/>
                <w:sz w:val="24"/>
                <w:szCs w:val="24"/>
                <w:lang w:val="en-US" w:eastAsia="zh-CN"/>
              </w:rPr>
              <w:t>2.4</w:t>
            </w:r>
          </w:p>
        </w:tc>
        <w:tc>
          <w:tcPr>
            <w:tcW w:w="486" w:type="pct"/>
            <w:tcBorders>
              <w:top w:val="single" w:color="auto" w:sz="4" w:space="0"/>
              <w:left w:val="single" w:color="auto" w:sz="4" w:space="0"/>
              <w:bottom w:val="single" w:color="auto" w:sz="4" w:space="0"/>
              <w:right w:val="single" w:color="auto" w:sz="4" w:space="0"/>
            </w:tcBorders>
            <w:vAlign w:val="center"/>
          </w:tcPr>
          <w:p w14:paraId="4A68BF1F">
            <w:pPr>
              <w:autoSpaceDE w:val="0"/>
              <w:adjustRightInd w:val="0"/>
              <w:snapToGrid w:val="0"/>
              <w:spacing w:line="560" w:lineRule="exact"/>
              <w:jc w:val="center"/>
              <w:rPr>
                <w:rFonts w:ascii="Times New Roman" w:hAnsi="Times New Roman" w:eastAsia="仿宋"/>
                <w:kern w:val="2"/>
                <w:sz w:val="24"/>
                <w:szCs w:val="24"/>
              </w:rPr>
            </w:pPr>
          </w:p>
        </w:tc>
      </w:tr>
      <w:tr w14:paraId="3004E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04502873">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072C3D6E">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186F61A8">
            <w:pPr>
              <w:autoSpaceDE w:val="0"/>
              <w:adjustRightInd w:val="0"/>
              <w:snapToGrid w:val="0"/>
              <w:spacing w:line="560" w:lineRule="exact"/>
              <w:jc w:val="center"/>
              <w:rPr>
                <w:rFonts w:hint="default" w:ascii="仿宋" w:hAnsi="仿宋" w:eastAsia="仿宋"/>
                <w:kern w:val="0"/>
                <w:sz w:val="24"/>
                <w:szCs w:val="24"/>
                <w:lang w:val="en-US" w:eastAsia="zh-CN"/>
              </w:rPr>
            </w:pPr>
            <w:r>
              <w:rPr>
                <w:rFonts w:hint="eastAsia" w:ascii="仿宋" w:hAnsi="仿宋" w:eastAsia="仿宋"/>
                <w:kern w:val="0"/>
                <w:sz w:val="24"/>
                <w:szCs w:val="24"/>
                <w:lang w:val="en-US" w:eastAsia="zh-CN"/>
              </w:rPr>
              <w:t>建设浮桥300米</w:t>
            </w:r>
          </w:p>
        </w:tc>
        <w:tc>
          <w:tcPr>
            <w:tcW w:w="812" w:type="pct"/>
            <w:tcBorders>
              <w:top w:val="single" w:color="auto" w:sz="4" w:space="0"/>
              <w:left w:val="single" w:color="auto" w:sz="4" w:space="0"/>
              <w:bottom w:val="single" w:color="auto" w:sz="4" w:space="0"/>
              <w:right w:val="single" w:color="auto" w:sz="4" w:space="0"/>
            </w:tcBorders>
            <w:vAlign w:val="center"/>
          </w:tcPr>
          <w:p w14:paraId="003634CD">
            <w:pPr>
              <w:autoSpaceDE w:val="0"/>
              <w:adjustRightInd w:val="0"/>
              <w:snapToGrid w:val="0"/>
              <w:spacing w:line="560" w:lineRule="exact"/>
              <w:jc w:val="center"/>
              <w:rPr>
                <w:rFonts w:hint="default" w:ascii="Times New Roman" w:hAnsi="Times New Roman" w:eastAsia="仿宋"/>
                <w:kern w:val="0"/>
                <w:sz w:val="24"/>
                <w:szCs w:val="24"/>
                <w:lang w:val="en-US" w:eastAsia="zh-CN"/>
              </w:rPr>
            </w:pPr>
            <w:r>
              <w:rPr>
                <w:rFonts w:hint="eastAsia" w:ascii="Times New Roman" w:hAnsi="Times New Roman" w:eastAsia="仿宋"/>
                <w:kern w:val="0"/>
                <w:sz w:val="24"/>
                <w:szCs w:val="24"/>
                <w:lang w:val="en-US" w:eastAsia="zh-CN"/>
              </w:rPr>
              <w:t>4.35</w:t>
            </w:r>
          </w:p>
        </w:tc>
        <w:tc>
          <w:tcPr>
            <w:tcW w:w="486" w:type="pct"/>
            <w:tcBorders>
              <w:top w:val="single" w:color="auto" w:sz="4" w:space="0"/>
              <w:left w:val="single" w:color="auto" w:sz="4" w:space="0"/>
              <w:bottom w:val="single" w:color="auto" w:sz="4" w:space="0"/>
              <w:right w:val="single" w:color="auto" w:sz="4" w:space="0"/>
            </w:tcBorders>
            <w:vAlign w:val="center"/>
          </w:tcPr>
          <w:p w14:paraId="29D54C2D">
            <w:pPr>
              <w:autoSpaceDE w:val="0"/>
              <w:adjustRightInd w:val="0"/>
              <w:snapToGrid w:val="0"/>
              <w:spacing w:line="560" w:lineRule="exact"/>
              <w:jc w:val="center"/>
              <w:rPr>
                <w:rFonts w:ascii="Times New Roman" w:hAnsi="Times New Roman" w:eastAsia="仿宋"/>
                <w:kern w:val="2"/>
                <w:sz w:val="24"/>
                <w:szCs w:val="24"/>
              </w:rPr>
            </w:pPr>
          </w:p>
        </w:tc>
      </w:tr>
      <w:tr w14:paraId="268FC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20E3709F">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090FF72A">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6C9BC67B">
            <w:pPr>
              <w:autoSpaceDE w:val="0"/>
              <w:adjustRightInd w:val="0"/>
              <w:snapToGrid w:val="0"/>
              <w:spacing w:line="560" w:lineRule="exact"/>
              <w:jc w:val="center"/>
              <w:rPr>
                <w:rFonts w:hint="default" w:ascii="仿宋" w:hAnsi="仿宋" w:eastAsia="仿宋"/>
                <w:kern w:val="0"/>
                <w:sz w:val="24"/>
                <w:szCs w:val="24"/>
                <w:lang w:val="en-US" w:eastAsia="zh-CN"/>
              </w:rPr>
            </w:pPr>
            <w:r>
              <w:rPr>
                <w:rFonts w:hint="eastAsia" w:ascii="仿宋" w:hAnsi="仿宋" w:eastAsia="仿宋"/>
                <w:kern w:val="0"/>
                <w:sz w:val="24"/>
                <w:szCs w:val="24"/>
                <w:lang w:val="en-US" w:eastAsia="zh-CN"/>
              </w:rPr>
              <w:t>建设管护用房30平方</w:t>
            </w:r>
          </w:p>
        </w:tc>
        <w:tc>
          <w:tcPr>
            <w:tcW w:w="812" w:type="pct"/>
            <w:tcBorders>
              <w:top w:val="single" w:color="auto" w:sz="4" w:space="0"/>
              <w:left w:val="single" w:color="auto" w:sz="4" w:space="0"/>
              <w:bottom w:val="single" w:color="auto" w:sz="4" w:space="0"/>
              <w:right w:val="single" w:color="auto" w:sz="4" w:space="0"/>
            </w:tcBorders>
            <w:vAlign w:val="center"/>
          </w:tcPr>
          <w:p w14:paraId="32397239">
            <w:pPr>
              <w:autoSpaceDE w:val="0"/>
              <w:adjustRightInd w:val="0"/>
              <w:snapToGrid w:val="0"/>
              <w:spacing w:line="560" w:lineRule="exact"/>
              <w:jc w:val="center"/>
              <w:rPr>
                <w:rFonts w:hint="default" w:ascii="Times New Roman" w:hAnsi="Times New Roman" w:eastAsia="仿宋"/>
                <w:kern w:val="0"/>
                <w:sz w:val="24"/>
                <w:szCs w:val="24"/>
                <w:lang w:val="en-US" w:eastAsia="zh-CN"/>
              </w:rPr>
            </w:pPr>
            <w:r>
              <w:rPr>
                <w:rFonts w:hint="eastAsia" w:ascii="Times New Roman" w:hAnsi="Times New Roman" w:eastAsia="仿宋"/>
                <w:kern w:val="0"/>
                <w:sz w:val="24"/>
                <w:szCs w:val="24"/>
                <w:lang w:val="en-US" w:eastAsia="zh-CN"/>
              </w:rPr>
              <w:t>0.9</w:t>
            </w:r>
          </w:p>
        </w:tc>
        <w:tc>
          <w:tcPr>
            <w:tcW w:w="486" w:type="pct"/>
            <w:tcBorders>
              <w:top w:val="single" w:color="auto" w:sz="4" w:space="0"/>
              <w:left w:val="single" w:color="auto" w:sz="4" w:space="0"/>
              <w:bottom w:val="single" w:color="auto" w:sz="4" w:space="0"/>
              <w:right w:val="single" w:color="auto" w:sz="4" w:space="0"/>
            </w:tcBorders>
            <w:vAlign w:val="center"/>
          </w:tcPr>
          <w:p w14:paraId="7C4D83DC">
            <w:pPr>
              <w:autoSpaceDE w:val="0"/>
              <w:adjustRightInd w:val="0"/>
              <w:snapToGrid w:val="0"/>
              <w:spacing w:line="560" w:lineRule="exact"/>
              <w:jc w:val="center"/>
              <w:rPr>
                <w:rFonts w:ascii="Times New Roman" w:hAnsi="Times New Roman" w:eastAsia="仿宋"/>
                <w:kern w:val="2"/>
                <w:sz w:val="24"/>
                <w:szCs w:val="24"/>
              </w:rPr>
            </w:pPr>
          </w:p>
        </w:tc>
      </w:tr>
      <w:tr w14:paraId="0158F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4EB484E7">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111BC9A8">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725B07ED">
            <w:pPr>
              <w:autoSpaceDE w:val="0"/>
              <w:adjustRightInd w:val="0"/>
              <w:snapToGrid w:val="0"/>
              <w:spacing w:line="560" w:lineRule="exact"/>
              <w:jc w:val="center"/>
              <w:rPr>
                <w:rFonts w:hint="default" w:ascii="仿宋" w:hAnsi="仿宋" w:eastAsia="仿宋"/>
                <w:kern w:val="0"/>
                <w:sz w:val="24"/>
                <w:szCs w:val="24"/>
                <w:lang w:val="en-US" w:eastAsia="zh-CN"/>
              </w:rPr>
            </w:pPr>
            <w:r>
              <w:rPr>
                <w:rFonts w:hint="eastAsia" w:ascii="仿宋" w:hAnsi="仿宋" w:eastAsia="仿宋"/>
                <w:kern w:val="0"/>
                <w:sz w:val="24"/>
                <w:szCs w:val="24"/>
                <w:lang w:val="en-US" w:eastAsia="zh-CN"/>
              </w:rPr>
              <w:t>建设钓台4个</w:t>
            </w:r>
          </w:p>
        </w:tc>
        <w:tc>
          <w:tcPr>
            <w:tcW w:w="812" w:type="pct"/>
            <w:tcBorders>
              <w:top w:val="single" w:color="auto" w:sz="4" w:space="0"/>
              <w:left w:val="single" w:color="auto" w:sz="4" w:space="0"/>
              <w:bottom w:val="single" w:color="auto" w:sz="4" w:space="0"/>
              <w:right w:val="single" w:color="auto" w:sz="4" w:space="0"/>
            </w:tcBorders>
            <w:vAlign w:val="center"/>
          </w:tcPr>
          <w:p w14:paraId="3A854A70">
            <w:pPr>
              <w:autoSpaceDE w:val="0"/>
              <w:adjustRightInd w:val="0"/>
              <w:snapToGrid w:val="0"/>
              <w:spacing w:line="560" w:lineRule="exact"/>
              <w:jc w:val="center"/>
              <w:rPr>
                <w:rFonts w:hint="default" w:ascii="Times New Roman" w:hAnsi="Times New Roman" w:eastAsia="仿宋"/>
                <w:kern w:val="0"/>
                <w:sz w:val="24"/>
                <w:szCs w:val="24"/>
                <w:lang w:val="en-US" w:eastAsia="zh-CN"/>
              </w:rPr>
            </w:pPr>
            <w:r>
              <w:rPr>
                <w:rFonts w:hint="eastAsia" w:ascii="Times New Roman" w:hAnsi="Times New Roman" w:eastAsia="仿宋"/>
                <w:kern w:val="0"/>
                <w:sz w:val="24"/>
                <w:szCs w:val="24"/>
                <w:lang w:val="en-US" w:eastAsia="zh-CN"/>
              </w:rPr>
              <w:t>0.86</w:t>
            </w:r>
          </w:p>
        </w:tc>
        <w:tc>
          <w:tcPr>
            <w:tcW w:w="486" w:type="pct"/>
            <w:tcBorders>
              <w:top w:val="single" w:color="auto" w:sz="4" w:space="0"/>
              <w:left w:val="single" w:color="auto" w:sz="4" w:space="0"/>
              <w:bottom w:val="single" w:color="auto" w:sz="4" w:space="0"/>
              <w:right w:val="single" w:color="auto" w:sz="4" w:space="0"/>
            </w:tcBorders>
            <w:vAlign w:val="center"/>
          </w:tcPr>
          <w:p w14:paraId="2FAFF413">
            <w:pPr>
              <w:autoSpaceDE w:val="0"/>
              <w:adjustRightInd w:val="0"/>
              <w:snapToGrid w:val="0"/>
              <w:spacing w:line="560" w:lineRule="exact"/>
              <w:jc w:val="center"/>
              <w:rPr>
                <w:rFonts w:ascii="Times New Roman" w:hAnsi="Times New Roman" w:eastAsia="仿宋"/>
                <w:kern w:val="2"/>
                <w:sz w:val="24"/>
                <w:szCs w:val="24"/>
              </w:rPr>
            </w:pPr>
          </w:p>
        </w:tc>
      </w:tr>
      <w:tr w14:paraId="5DC33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6EDBD5E0">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76FACEE3">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7BC9B0D8">
            <w:pPr>
              <w:autoSpaceDE w:val="0"/>
              <w:adjustRightInd w:val="0"/>
              <w:snapToGrid w:val="0"/>
              <w:spacing w:line="560" w:lineRule="exact"/>
              <w:jc w:val="center"/>
              <w:rPr>
                <w:rFonts w:hint="eastAsia" w:ascii="仿宋" w:hAnsi="仿宋" w:eastAsia="仿宋"/>
                <w:kern w:val="0"/>
                <w:sz w:val="24"/>
                <w:szCs w:val="24"/>
                <w:lang w:val="en-US" w:eastAsia="zh-CN"/>
              </w:rPr>
            </w:pPr>
            <w:r>
              <w:rPr>
                <w:rFonts w:hint="eastAsia" w:ascii="仿宋" w:hAnsi="仿宋" w:eastAsia="仿宋"/>
                <w:kern w:val="0"/>
                <w:sz w:val="24"/>
                <w:szCs w:val="24"/>
                <w:lang w:val="en-US" w:eastAsia="zh-CN"/>
              </w:rPr>
              <w:t>15马力清雪机（全齿轮扫抛三合一）</w:t>
            </w:r>
          </w:p>
        </w:tc>
        <w:tc>
          <w:tcPr>
            <w:tcW w:w="812" w:type="pct"/>
            <w:tcBorders>
              <w:top w:val="single" w:color="auto" w:sz="4" w:space="0"/>
              <w:left w:val="single" w:color="auto" w:sz="4" w:space="0"/>
              <w:bottom w:val="single" w:color="auto" w:sz="4" w:space="0"/>
              <w:right w:val="single" w:color="auto" w:sz="4" w:space="0"/>
            </w:tcBorders>
            <w:vAlign w:val="center"/>
          </w:tcPr>
          <w:p w14:paraId="12255AC7">
            <w:pPr>
              <w:autoSpaceDE w:val="0"/>
              <w:adjustRightInd w:val="0"/>
              <w:snapToGrid w:val="0"/>
              <w:spacing w:line="560" w:lineRule="exact"/>
              <w:jc w:val="center"/>
              <w:rPr>
                <w:rFonts w:hint="default" w:ascii="Times New Roman" w:hAnsi="Times New Roman" w:eastAsia="仿宋"/>
                <w:kern w:val="0"/>
                <w:sz w:val="24"/>
                <w:szCs w:val="24"/>
                <w:lang w:val="en-US" w:eastAsia="zh-CN"/>
              </w:rPr>
            </w:pPr>
            <w:r>
              <w:rPr>
                <w:rFonts w:hint="eastAsia" w:ascii="Times New Roman" w:hAnsi="Times New Roman" w:eastAsia="仿宋"/>
                <w:kern w:val="0"/>
                <w:sz w:val="24"/>
                <w:szCs w:val="24"/>
                <w:lang w:val="en-US" w:eastAsia="zh-CN"/>
              </w:rPr>
              <w:t>1.2</w:t>
            </w:r>
          </w:p>
        </w:tc>
        <w:tc>
          <w:tcPr>
            <w:tcW w:w="486" w:type="pct"/>
            <w:tcBorders>
              <w:top w:val="single" w:color="auto" w:sz="4" w:space="0"/>
              <w:left w:val="single" w:color="auto" w:sz="4" w:space="0"/>
              <w:bottom w:val="single" w:color="auto" w:sz="4" w:space="0"/>
              <w:right w:val="single" w:color="auto" w:sz="4" w:space="0"/>
            </w:tcBorders>
            <w:vAlign w:val="center"/>
          </w:tcPr>
          <w:p w14:paraId="67AEBCB2">
            <w:pPr>
              <w:autoSpaceDE w:val="0"/>
              <w:adjustRightInd w:val="0"/>
              <w:snapToGrid w:val="0"/>
              <w:spacing w:line="560" w:lineRule="exact"/>
              <w:jc w:val="center"/>
              <w:rPr>
                <w:rFonts w:ascii="Times New Roman" w:hAnsi="Times New Roman" w:eastAsia="仿宋"/>
                <w:kern w:val="2"/>
                <w:sz w:val="24"/>
                <w:szCs w:val="24"/>
              </w:rPr>
            </w:pPr>
          </w:p>
        </w:tc>
      </w:tr>
      <w:tr w14:paraId="3D393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0B66608B">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0B39F023">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23B02624">
            <w:pPr>
              <w:autoSpaceDE w:val="0"/>
              <w:adjustRightInd w:val="0"/>
              <w:snapToGrid w:val="0"/>
              <w:spacing w:line="560" w:lineRule="exact"/>
              <w:jc w:val="center"/>
              <w:rPr>
                <w:rFonts w:ascii="Times New Roman" w:hAnsi="Times New Roman" w:eastAsia="仿宋"/>
                <w:kern w:val="2"/>
                <w:sz w:val="24"/>
                <w:szCs w:val="24"/>
              </w:rPr>
            </w:pPr>
            <w:r>
              <w:rPr>
                <w:rFonts w:hint="eastAsia" w:ascii="仿宋_GB2312" w:hAnsi="Times New Roman" w:eastAsia="仿宋_GB2312"/>
                <w:sz w:val="24"/>
                <w:szCs w:val="24"/>
                <w:lang w:val="en-US" w:eastAsia="zh-CN"/>
              </w:rPr>
              <w:t>增氧机2台，</w:t>
            </w:r>
          </w:p>
        </w:tc>
        <w:tc>
          <w:tcPr>
            <w:tcW w:w="812" w:type="pct"/>
            <w:tcBorders>
              <w:top w:val="single" w:color="auto" w:sz="4" w:space="0"/>
              <w:left w:val="single" w:color="auto" w:sz="4" w:space="0"/>
              <w:bottom w:val="single" w:color="auto" w:sz="4" w:space="0"/>
              <w:right w:val="single" w:color="auto" w:sz="4" w:space="0"/>
            </w:tcBorders>
            <w:vAlign w:val="center"/>
          </w:tcPr>
          <w:p w14:paraId="57D06469">
            <w:pPr>
              <w:autoSpaceDE w:val="0"/>
              <w:adjustRightInd w:val="0"/>
              <w:snapToGrid w:val="0"/>
              <w:spacing w:line="560" w:lineRule="exact"/>
              <w:jc w:val="center"/>
              <w:rPr>
                <w:rFonts w:hint="default" w:ascii="Times New Roman" w:hAnsi="Times New Roman" w:eastAsia="仿宋"/>
                <w:kern w:val="2"/>
                <w:sz w:val="24"/>
                <w:szCs w:val="24"/>
                <w:lang w:val="en-US" w:eastAsia="zh-CN"/>
              </w:rPr>
            </w:pPr>
            <w:r>
              <w:rPr>
                <w:rFonts w:hint="eastAsia" w:ascii="Times New Roman" w:hAnsi="Times New Roman" w:eastAsia="仿宋"/>
                <w:kern w:val="0"/>
                <w:sz w:val="24"/>
                <w:szCs w:val="24"/>
                <w:lang w:val="en-US" w:eastAsia="zh-CN"/>
              </w:rPr>
              <w:t>0.34</w:t>
            </w:r>
          </w:p>
        </w:tc>
        <w:tc>
          <w:tcPr>
            <w:tcW w:w="486" w:type="pct"/>
            <w:tcBorders>
              <w:top w:val="single" w:color="auto" w:sz="4" w:space="0"/>
              <w:left w:val="single" w:color="auto" w:sz="4" w:space="0"/>
              <w:bottom w:val="single" w:color="auto" w:sz="4" w:space="0"/>
              <w:right w:val="single" w:color="auto" w:sz="4" w:space="0"/>
            </w:tcBorders>
            <w:vAlign w:val="center"/>
          </w:tcPr>
          <w:p w14:paraId="52D44FB5">
            <w:pPr>
              <w:autoSpaceDE w:val="0"/>
              <w:adjustRightInd w:val="0"/>
              <w:snapToGrid w:val="0"/>
              <w:spacing w:line="560" w:lineRule="exact"/>
              <w:jc w:val="center"/>
              <w:rPr>
                <w:rFonts w:ascii="Times New Roman" w:hAnsi="Times New Roman" w:eastAsia="仿宋"/>
                <w:kern w:val="2"/>
                <w:sz w:val="24"/>
                <w:szCs w:val="24"/>
              </w:rPr>
            </w:pPr>
          </w:p>
        </w:tc>
      </w:tr>
      <w:tr w14:paraId="423D4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0" w:type="auto"/>
            <w:tcBorders>
              <w:top w:val="nil"/>
              <w:left w:val="single" w:color="auto" w:sz="4" w:space="0"/>
              <w:bottom w:val="single" w:color="auto" w:sz="4" w:space="0"/>
              <w:right w:val="single" w:color="auto" w:sz="4" w:space="0"/>
            </w:tcBorders>
            <w:vAlign w:val="center"/>
          </w:tcPr>
          <w:p w14:paraId="34AAD38E">
            <w:pPr>
              <w:widowControl/>
              <w:jc w:val="left"/>
              <w:rPr>
                <w:rFonts w:ascii="Times New Roman" w:hAnsi="Times New Roman" w:eastAsia="仿宋"/>
                <w:kern w:val="2"/>
                <w:sz w:val="24"/>
                <w:szCs w:val="24"/>
              </w:rPr>
            </w:pPr>
          </w:p>
        </w:tc>
        <w:tc>
          <w:tcPr>
            <w:tcW w:w="0" w:type="auto"/>
            <w:tcBorders>
              <w:top w:val="nil"/>
              <w:left w:val="single" w:color="auto" w:sz="4" w:space="0"/>
              <w:bottom w:val="single" w:color="auto" w:sz="4" w:space="0"/>
              <w:right w:val="single" w:color="auto" w:sz="4" w:space="0"/>
            </w:tcBorders>
            <w:vAlign w:val="center"/>
          </w:tcPr>
          <w:p w14:paraId="0EC2B600">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2BB1B0AE">
            <w:pPr>
              <w:autoSpaceDE w:val="0"/>
              <w:adjustRightInd w:val="0"/>
              <w:snapToGrid w:val="0"/>
              <w:spacing w:line="560" w:lineRule="exact"/>
              <w:jc w:val="center"/>
              <w:rPr>
                <w:rFonts w:hint="eastAsia" w:ascii="仿宋" w:hAnsi="仿宋" w:eastAsia="仿宋"/>
                <w:kern w:val="0"/>
                <w:sz w:val="24"/>
                <w:szCs w:val="24"/>
                <w:lang w:val="en-US" w:eastAsia="zh-CN"/>
              </w:rPr>
            </w:pPr>
            <w:r>
              <w:rPr>
                <w:rFonts w:hint="eastAsia" w:ascii="仿宋" w:hAnsi="仿宋" w:eastAsia="仿宋"/>
                <w:kern w:val="0"/>
                <w:sz w:val="24"/>
                <w:szCs w:val="24"/>
                <w:lang w:val="en-US" w:eastAsia="zh-CN"/>
              </w:rPr>
              <w:t>合计</w:t>
            </w:r>
          </w:p>
        </w:tc>
        <w:tc>
          <w:tcPr>
            <w:tcW w:w="812" w:type="pct"/>
            <w:tcBorders>
              <w:top w:val="single" w:color="auto" w:sz="4" w:space="0"/>
              <w:left w:val="single" w:color="auto" w:sz="4" w:space="0"/>
              <w:bottom w:val="single" w:color="auto" w:sz="4" w:space="0"/>
              <w:right w:val="single" w:color="auto" w:sz="4" w:space="0"/>
            </w:tcBorders>
            <w:vAlign w:val="center"/>
          </w:tcPr>
          <w:p w14:paraId="197B2B85">
            <w:pPr>
              <w:autoSpaceDE w:val="0"/>
              <w:adjustRightInd w:val="0"/>
              <w:snapToGrid w:val="0"/>
              <w:spacing w:line="560" w:lineRule="exact"/>
              <w:jc w:val="center"/>
              <w:rPr>
                <w:rFonts w:hint="default" w:ascii="Times New Roman" w:hAnsi="Times New Roman" w:eastAsia="仿宋"/>
                <w:kern w:val="0"/>
                <w:sz w:val="24"/>
                <w:szCs w:val="24"/>
                <w:lang w:val="en-US" w:eastAsia="zh-CN"/>
              </w:rPr>
            </w:pPr>
            <w:r>
              <w:rPr>
                <w:rFonts w:hint="eastAsia" w:ascii="Times New Roman" w:hAnsi="Times New Roman" w:eastAsia="仿宋"/>
                <w:kern w:val="0"/>
                <w:sz w:val="24"/>
                <w:szCs w:val="24"/>
                <w:lang w:val="en-US" w:eastAsia="zh-CN"/>
              </w:rPr>
              <w:t>15.8</w:t>
            </w:r>
          </w:p>
        </w:tc>
        <w:tc>
          <w:tcPr>
            <w:tcW w:w="486" w:type="pct"/>
            <w:tcBorders>
              <w:top w:val="single" w:color="auto" w:sz="4" w:space="0"/>
              <w:left w:val="single" w:color="auto" w:sz="4" w:space="0"/>
              <w:bottom w:val="single" w:color="auto" w:sz="4" w:space="0"/>
              <w:right w:val="single" w:color="auto" w:sz="4" w:space="0"/>
            </w:tcBorders>
            <w:vAlign w:val="center"/>
          </w:tcPr>
          <w:p w14:paraId="39212539">
            <w:pPr>
              <w:autoSpaceDE w:val="0"/>
              <w:adjustRightInd w:val="0"/>
              <w:snapToGrid w:val="0"/>
              <w:spacing w:line="560" w:lineRule="exact"/>
              <w:jc w:val="center"/>
              <w:rPr>
                <w:rFonts w:ascii="Times New Roman" w:hAnsi="Times New Roman" w:eastAsia="仿宋"/>
                <w:kern w:val="2"/>
                <w:sz w:val="24"/>
                <w:szCs w:val="24"/>
              </w:rPr>
            </w:pPr>
          </w:p>
        </w:tc>
      </w:tr>
      <w:tr w14:paraId="5A103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533" w:type="pct"/>
            <w:vMerge w:val="restart"/>
            <w:tcBorders>
              <w:top w:val="nil"/>
              <w:left w:val="single" w:color="auto" w:sz="4" w:space="0"/>
              <w:bottom w:val="single" w:color="auto" w:sz="4" w:space="0"/>
              <w:right w:val="single" w:color="auto" w:sz="4" w:space="0"/>
            </w:tcBorders>
            <w:vAlign w:val="center"/>
          </w:tcPr>
          <w:p w14:paraId="27936B74">
            <w:pPr>
              <w:autoSpaceDE w:val="0"/>
              <w:adjustRightInd w:val="0"/>
              <w:snapToGrid w:val="0"/>
              <w:spacing w:line="560" w:lineRule="exact"/>
              <w:jc w:val="center"/>
              <w:rPr>
                <w:rFonts w:ascii="Times New Roman" w:hAnsi="Times New Roman" w:eastAsia="仿宋"/>
                <w:kern w:val="2"/>
                <w:sz w:val="24"/>
                <w:szCs w:val="24"/>
              </w:rPr>
            </w:pPr>
            <w:r>
              <w:rPr>
                <w:rFonts w:ascii="Times New Roman" w:hAnsi="Times New Roman" w:eastAsia="仿宋"/>
                <w:kern w:val="0"/>
                <w:sz w:val="24"/>
                <w:szCs w:val="24"/>
              </w:rPr>
              <w:t>5</w:t>
            </w:r>
          </w:p>
        </w:tc>
        <w:tc>
          <w:tcPr>
            <w:tcW w:w="994" w:type="pct"/>
            <w:vMerge w:val="restart"/>
            <w:tcBorders>
              <w:top w:val="nil"/>
              <w:left w:val="single" w:color="auto" w:sz="4" w:space="0"/>
              <w:bottom w:val="single" w:color="auto" w:sz="4" w:space="0"/>
              <w:right w:val="single" w:color="auto" w:sz="4" w:space="0"/>
            </w:tcBorders>
            <w:vAlign w:val="center"/>
          </w:tcPr>
          <w:p w14:paraId="5A4D5EF8">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鄂伦春自治旗诺敏镇鑫龙祥养殖农民专业合作社建设项目</w:t>
            </w:r>
          </w:p>
        </w:tc>
        <w:tc>
          <w:tcPr>
            <w:tcW w:w="2173" w:type="pct"/>
            <w:tcBorders>
              <w:top w:val="single" w:color="auto" w:sz="4" w:space="0"/>
              <w:left w:val="single" w:color="auto" w:sz="4" w:space="0"/>
              <w:bottom w:val="single" w:color="auto" w:sz="4" w:space="0"/>
              <w:right w:val="single" w:color="auto" w:sz="4" w:space="0"/>
            </w:tcBorders>
            <w:vAlign w:val="center"/>
          </w:tcPr>
          <w:p w14:paraId="19136CCD">
            <w:pPr>
              <w:autoSpaceDE w:val="0"/>
              <w:adjustRightInd w:val="0"/>
              <w:snapToGrid w:val="0"/>
              <w:spacing w:line="560" w:lineRule="exact"/>
              <w:jc w:val="center"/>
              <w:rPr>
                <w:rFonts w:hint="default" w:ascii="Times New Roman" w:hAnsi="Times New Roman" w:eastAsia="仿宋"/>
                <w:kern w:val="2"/>
                <w:sz w:val="24"/>
                <w:szCs w:val="24"/>
                <w:lang w:val="en-US" w:eastAsia="zh-CN"/>
              </w:rPr>
            </w:pPr>
            <w:r>
              <w:rPr>
                <w:rFonts w:hint="eastAsia" w:ascii="仿宋" w:hAnsi="仿宋" w:eastAsia="仿宋"/>
                <w:kern w:val="0"/>
                <w:sz w:val="24"/>
                <w:szCs w:val="24"/>
                <w:lang w:val="en-US" w:eastAsia="zh-CN"/>
              </w:rPr>
              <w:t>购买增氧机10台（四挡变速、使用面积5—11亩，增氧功能≥2.8）</w:t>
            </w:r>
          </w:p>
        </w:tc>
        <w:tc>
          <w:tcPr>
            <w:tcW w:w="812" w:type="pct"/>
            <w:tcBorders>
              <w:top w:val="single" w:color="auto" w:sz="4" w:space="0"/>
              <w:left w:val="single" w:color="auto" w:sz="4" w:space="0"/>
              <w:bottom w:val="single" w:color="auto" w:sz="4" w:space="0"/>
              <w:right w:val="single" w:color="auto" w:sz="4" w:space="0"/>
            </w:tcBorders>
            <w:vAlign w:val="center"/>
          </w:tcPr>
          <w:p w14:paraId="08985D58">
            <w:pPr>
              <w:autoSpaceDE w:val="0"/>
              <w:adjustRightInd w:val="0"/>
              <w:snapToGrid w:val="0"/>
              <w:spacing w:line="560" w:lineRule="exact"/>
              <w:jc w:val="center"/>
              <w:rPr>
                <w:rFonts w:hint="default" w:ascii="Times New Roman" w:hAnsi="Times New Roman" w:eastAsia="仿宋"/>
                <w:kern w:val="2"/>
                <w:sz w:val="24"/>
                <w:szCs w:val="24"/>
                <w:lang w:val="en-US" w:eastAsia="zh-CN"/>
              </w:rPr>
            </w:pPr>
            <w:r>
              <w:rPr>
                <w:rFonts w:hint="eastAsia" w:ascii="Times New Roman" w:hAnsi="Times New Roman" w:eastAsia="仿宋"/>
                <w:kern w:val="0"/>
                <w:sz w:val="24"/>
                <w:szCs w:val="24"/>
                <w:lang w:val="en-US" w:eastAsia="zh-CN"/>
              </w:rPr>
              <w:t>1.7</w:t>
            </w:r>
          </w:p>
        </w:tc>
        <w:tc>
          <w:tcPr>
            <w:tcW w:w="486" w:type="pct"/>
            <w:tcBorders>
              <w:top w:val="single" w:color="auto" w:sz="4" w:space="0"/>
              <w:left w:val="single" w:color="auto" w:sz="4" w:space="0"/>
              <w:bottom w:val="single" w:color="auto" w:sz="4" w:space="0"/>
              <w:right w:val="single" w:color="auto" w:sz="4" w:space="0"/>
            </w:tcBorders>
            <w:vAlign w:val="center"/>
          </w:tcPr>
          <w:p w14:paraId="17F5BCE2">
            <w:pPr>
              <w:autoSpaceDE w:val="0"/>
              <w:adjustRightInd w:val="0"/>
              <w:snapToGrid w:val="0"/>
              <w:spacing w:line="560" w:lineRule="exact"/>
              <w:jc w:val="center"/>
              <w:rPr>
                <w:rFonts w:ascii="Times New Roman" w:hAnsi="Times New Roman" w:eastAsia="仿宋"/>
                <w:kern w:val="2"/>
                <w:sz w:val="24"/>
                <w:szCs w:val="24"/>
              </w:rPr>
            </w:pPr>
          </w:p>
        </w:tc>
      </w:tr>
      <w:tr w14:paraId="2CE31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4596C976">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4D1A28D2">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481426A6">
            <w:pPr>
              <w:autoSpaceDE w:val="0"/>
              <w:adjustRightInd w:val="0"/>
              <w:snapToGrid w:val="0"/>
              <w:spacing w:line="560" w:lineRule="exact"/>
              <w:jc w:val="center"/>
              <w:rPr>
                <w:rFonts w:hint="default" w:ascii="Times New Roman" w:hAnsi="Times New Roman" w:eastAsia="仿宋"/>
                <w:kern w:val="2"/>
                <w:sz w:val="24"/>
                <w:szCs w:val="24"/>
                <w:lang w:val="en-US" w:eastAsia="zh-CN"/>
              </w:rPr>
            </w:pPr>
            <w:r>
              <w:rPr>
                <w:rFonts w:hint="eastAsia" w:ascii="仿宋" w:hAnsi="仿宋" w:eastAsia="仿宋"/>
                <w:kern w:val="0"/>
                <w:sz w:val="24"/>
                <w:szCs w:val="24"/>
                <w:lang w:val="en-US" w:eastAsia="zh-CN"/>
              </w:rPr>
              <w:t>15马力清雪机（全齿轮扫抛三合一）</w:t>
            </w:r>
          </w:p>
        </w:tc>
        <w:tc>
          <w:tcPr>
            <w:tcW w:w="812" w:type="pct"/>
            <w:tcBorders>
              <w:top w:val="single" w:color="auto" w:sz="4" w:space="0"/>
              <w:left w:val="single" w:color="auto" w:sz="4" w:space="0"/>
              <w:bottom w:val="single" w:color="auto" w:sz="4" w:space="0"/>
              <w:right w:val="single" w:color="auto" w:sz="4" w:space="0"/>
            </w:tcBorders>
            <w:vAlign w:val="center"/>
          </w:tcPr>
          <w:p w14:paraId="40D31A3B">
            <w:pPr>
              <w:autoSpaceDE w:val="0"/>
              <w:adjustRightInd w:val="0"/>
              <w:snapToGrid w:val="0"/>
              <w:spacing w:line="560" w:lineRule="exact"/>
              <w:jc w:val="center"/>
              <w:rPr>
                <w:rFonts w:hint="default" w:ascii="Times New Roman" w:hAnsi="Times New Roman" w:eastAsia="仿宋"/>
                <w:kern w:val="2"/>
                <w:sz w:val="24"/>
                <w:szCs w:val="24"/>
                <w:lang w:val="en-US" w:eastAsia="zh-CN"/>
              </w:rPr>
            </w:pPr>
            <w:r>
              <w:rPr>
                <w:rFonts w:hint="eastAsia" w:ascii="Times New Roman" w:hAnsi="Times New Roman" w:eastAsia="仿宋"/>
                <w:kern w:val="0"/>
                <w:sz w:val="24"/>
                <w:szCs w:val="24"/>
                <w:lang w:val="en-US" w:eastAsia="zh-CN"/>
              </w:rPr>
              <w:t>1.2</w:t>
            </w:r>
          </w:p>
        </w:tc>
        <w:tc>
          <w:tcPr>
            <w:tcW w:w="486" w:type="pct"/>
            <w:tcBorders>
              <w:top w:val="single" w:color="auto" w:sz="4" w:space="0"/>
              <w:left w:val="single" w:color="auto" w:sz="4" w:space="0"/>
              <w:bottom w:val="single" w:color="auto" w:sz="4" w:space="0"/>
              <w:right w:val="single" w:color="auto" w:sz="4" w:space="0"/>
            </w:tcBorders>
            <w:vAlign w:val="center"/>
          </w:tcPr>
          <w:p w14:paraId="4E0BF2FB">
            <w:pPr>
              <w:autoSpaceDE w:val="0"/>
              <w:adjustRightInd w:val="0"/>
              <w:snapToGrid w:val="0"/>
              <w:spacing w:line="560" w:lineRule="exact"/>
              <w:jc w:val="center"/>
              <w:rPr>
                <w:rFonts w:ascii="Times New Roman" w:hAnsi="Times New Roman" w:eastAsia="仿宋"/>
                <w:kern w:val="2"/>
                <w:sz w:val="24"/>
                <w:szCs w:val="24"/>
              </w:rPr>
            </w:pPr>
          </w:p>
        </w:tc>
      </w:tr>
      <w:tr w14:paraId="79935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4D766EC3">
            <w:pPr>
              <w:widowControl/>
              <w:jc w:val="left"/>
              <w:rPr>
                <w:rFonts w:hint="eastAsia" w:ascii="Times New Roman" w:hAnsi="Times New Roman" w:eastAsia="仿宋"/>
                <w:kern w:val="2"/>
                <w:sz w:val="24"/>
                <w:szCs w:val="24"/>
                <w:lang w:val="en-US" w:eastAsia="zh-CN"/>
              </w:rPr>
            </w:pPr>
            <w:r>
              <w:rPr>
                <w:rFonts w:hint="eastAsia" w:ascii="Times New Roman" w:hAnsi="Times New Roman" w:eastAsia="仿宋"/>
                <w:kern w:val="2"/>
                <w:sz w:val="24"/>
                <w:szCs w:val="24"/>
                <w:lang w:val="en-US" w:eastAsia="zh-CN"/>
              </w:rPr>
              <w:t>网片</w:t>
            </w:r>
          </w:p>
        </w:tc>
        <w:tc>
          <w:tcPr>
            <w:tcW w:w="0" w:type="auto"/>
            <w:vMerge w:val="continue"/>
            <w:tcBorders>
              <w:top w:val="nil"/>
              <w:left w:val="single" w:color="auto" w:sz="4" w:space="0"/>
              <w:bottom w:val="single" w:color="auto" w:sz="4" w:space="0"/>
              <w:right w:val="single" w:color="auto" w:sz="4" w:space="0"/>
            </w:tcBorders>
            <w:vAlign w:val="center"/>
          </w:tcPr>
          <w:p w14:paraId="60D19C2D">
            <w:pPr>
              <w:widowControl/>
              <w:jc w:val="left"/>
              <w:rPr>
                <w:rFonts w:hint="default" w:ascii="Times New Roman" w:hAnsi="Times New Roman" w:eastAsia="仿宋"/>
                <w:kern w:val="2"/>
                <w:sz w:val="24"/>
                <w:szCs w:val="24"/>
                <w:lang w:val="en-US"/>
              </w:rPr>
            </w:pPr>
          </w:p>
        </w:tc>
        <w:tc>
          <w:tcPr>
            <w:tcW w:w="2173" w:type="pct"/>
            <w:tcBorders>
              <w:top w:val="single" w:color="auto" w:sz="4" w:space="0"/>
              <w:left w:val="single" w:color="auto" w:sz="4" w:space="0"/>
              <w:bottom w:val="single" w:color="auto" w:sz="4" w:space="0"/>
              <w:right w:val="single" w:color="auto" w:sz="4" w:space="0"/>
            </w:tcBorders>
            <w:vAlign w:val="center"/>
          </w:tcPr>
          <w:p w14:paraId="1001940F">
            <w:pPr>
              <w:autoSpaceDE w:val="0"/>
              <w:adjustRightInd w:val="0"/>
              <w:snapToGrid w:val="0"/>
              <w:spacing w:line="560" w:lineRule="exact"/>
              <w:jc w:val="center"/>
              <w:rPr>
                <w:rFonts w:hint="default" w:ascii="仿宋" w:hAnsi="仿宋" w:eastAsia="仿宋"/>
                <w:kern w:val="0"/>
                <w:sz w:val="24"/>
                <w:szCs w:val="24"/>
                <w:lang w:val="en-US" w:eastAsia="zh-CN"/>
              </w:rPr>
            </w:pPr>
            <w:r>
              <w:rPr>
                <w:rFonts w:hint="eastAsia" w:ascii="仿宋" w:hAnsi="仿宋" w:eastAsia="仿宋"/>
                <w:kern w:val="0"/>
                <w:sz w:val="24"/>
                <w:szCs w:val="24"/>
                <w:lang w:val="en-US" w:eastAsia="zh-CN"/>
              </w:rPr>
              <w:t>网片1.5目，0.5目</w:t>
            </w:r>
          </w:p>
        </w:tc>
        <w:tc>
          <w:tcPr>
            <w:tcW w:w="812" w:type="pct"/>
            <w:tcBorders>
              <w:top w:val="single" w:color="auto" w:sz="4" w:space="0"/>
              <w:left w:val="single" w:color="auto" w:sz="4" w:space="0"/>
              <w:bottom w:val="single" w:color="auto" w:sz="4" w:space="0"/>
              <w:right w:val="single" w:color="auto" w:sz="4" w:space="0"/>
            </w:tcBorders>
            <w:vAlign w:val="center"/>
          </w:tcPr>
          <w:p w14:paraId="5450A6C0">
            <w:pPr>
              <w:autoSpaceDE w:val="0"/>
              <w:adjustRightInd w:val="0"/>
              <w:snapToGrid w:val="0"/>
              <w:spacing w:line="560" w:lineRule="exact"/>
              <w:jc w:val="center"/>
              <w:rPr>
                <w:rFonts w:hint="default" w:ascii="Times New Roman" w:hAnsi="Times New Roman" w:eastAsia="仿宋"/>
                <w:kern w:val="0"/>
                <w:sz w:val="24"/>
                <w:szCs w:val="24"/>
                <w:lang w:val="en-US" w:eastAsia="zh-CN"/>
              </w:rPr>
            </w:pPr>
            <w:r>
              <w:rPr>
                <w:rFonts w:hint="eastAsia" w:ascii="Times New Roman" w:hAnsi="Times New Roman" w:eastAsia="仿宋"/>
                <w:kern w:val="0"/>
                <w:sz w:val="24"/>
                <w:szCs w:val="24"/>
                <w:lang w:val="en-US" w:eastAsia="zh-CN"/>
              </w:rPr>
              <w:t>0.1</w:t>
            </w:r>
          </w:p>
        </w:tc>
        <w:tc>
          <w:tcPr>
            <w:tcW w:w="486" w:type="pct"/>
            <w:tcBorders>
              <w:top w:val="single" w:color="auto" w:sz="4" w:space="0"/>
              <w:left w:val="single" w:color="auto" w:sz="4" w:space="0"/>
              <w:bottom w:val="single" w:color="auto" w:sz="4" w:space="0"/>
              <w:right w:val="single" w:color="auto" w:sz="4" w:space="0"/>
            </w:tcBorders>
            <w:vAlign w:val="center"/>
          </w:tcPr>
          <w:p w14:paraId="3EE0FAC9">
            <w:pPr>
              <w:autoSpaceDE w:val="0"/>
              <w:adjustRightInd w:val="0"/>
              <w:snapToGrid w:val="0"/>
              <w:spacing w:line="560" w:lineRule="exact"/>
              <w:jc w:val="center"/>
              <w:rPr>
                <w:rFonts w:hint="default" w:ascii="Times New Roman" w:hAnsi="Times New Roman" w:eastAsia="仿宋"/>
                <w:kern w:val="2"/>
                <w:sz w:val="24"/>
                <w:szCs w:val="24"/>
                <w:lang w:val="en-US"/>
              </w:rPr>
            </w:pPr>
          </w:p>
        </w:tc>
      </w:tr>
      <w:tr w14:paraId="74889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nil"/>
              <w:left w:val="single" w:color="auto" w:sz="4" w:space="0"/>
              <w:bottom w:val="single" w:color="auto" w:sz="4" w:space="0"/>
              <w:right w:val="single" w:color="auto" w:sz="4" w:space="0"/>
            </w:tcBorders>
            <w:vAlign w:val="center"/>
          </w:tcPr>
          <w:p w14:paraId="6F33DFE3">
            <w:pPr>
              <w:widowControl/>
              <w:jc w:val="left"/>
              <w:rPr>
                <w:rFonts w:ascii="Times New Roman" w:hAnsi="Times New Roman" w:eastAsia="仿宋"/>
                <w:kern w:val="2"/>
                <w:sz w:val="24"/>
                <w:szCs w:val="24"/>
              </w:rPr>
            </w:pPr>
          </w:p>
        </w:tc>
        <w:tc>
          <w:tcPr>
            <w:tcW w:w="0" w:type="auto"/>
            <w:vMerge w:val="continue"/>
            <w:tcBorders>
              <w:top w:val="nil"/>
              <w:left w:val="single" w:color="auto" w:sz="4" w:space="0"/>
              <w:bottom w:val="single" w:color="auto" w:sz="4" w:space="0"/>
              <w:right w:val="single" w:color="auto" w:sz="4" w:space="0"/>
            </w:tcBorders>
            <w:vAlign w:val="center"/>
          </w:tcPr>
          <w:p w14:paraId="7062672E">
            <w:pPr>
              <w:widowControl/>
              <w:jc w:val="left"/>
              <w:rPr>
                <w:rFonts w:ascii="Times New Roman" w:hAnsi="Times New Roman" w:eastAsia="仿宋"/>
                <w:kern w:val="2"/>
                <w:sz w:val="24"/>
                <w:szCs w:val="24"/>
              </w:rPr>
            </w:pPr>
          </w:p>
        </w:tc>
        <w:tc>
          <w:tcPr>
            <w:tcW w:w="2173" w:type="pct"/>
            <w:tcBorders>
              <w:top w:val="single" w:color="auto" w:sz="4" w:space="0"/>
              <w:left w:val="single" w:color="auto" w:sz="4" w:space="0"/>
              <w:bottom w:val="single" w:color="auto" w:sz="4" w:space="0"/>
              <w:right w:val="single" w:color="auto" w:sz="4" w:space="0"/>
            </w:tcBorders>
            <w:vAlign w:val="center"/>
          </w:tcPr>
          <w:p w14:paraId="518EF314">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合计</w:t>
            </w:r>
          </w:p>
        </w:tc>
        <w:tc>
          <w:tcPr>
            <w:tcW w:w="812" w:type="pct"/>
            <w:tcBorders>
              <w:top w:val="single" w:color="auto" w:sz="4" w:space="0"/>
              <w:left w:val="single" w:color="auto" w:sz="4" w:space="0"/>
              <w:bottom w:val="single" w:color="auto" w:sz="4" w:space="0"/>
              <w:right w:val="single" w:color="auto" w:sz="4" w:space="0"/>
            </w:tcBorders>
            <w:vAlign w:val="center"/>
          </w:tcPr>
          <w:p w14:paraId="707458AD">
            <w:pPr>
              <w:autoSpaceDE w:val="0"/>
              <w:adjustRightInd w:val="0"/>
              <w:snapToGrid w:val="0"/>
              <w:spacing w:line="560" w:lineRule="exact"/>
              <w:jc w:val="center"/>
              <w:rPr>
                <w:rFonts w:hint="default" w:ascii="Times New Roman" w:hAnsi="Times New Roman" w:eastAsia="仿宋"/>
                <w:kern w:val="2"/>
                <w:sz w:val="24"/>
                <w:szCs w:val="24"/>
                <w:lang w:val="en-US" w:eastAsia="zh-CN"/>
              </w:rPr>
            </w:pPr>
            <w:r>
              <w:rPr>
                <w:rFonts w:hint="eastAsia" w:ascii="Times New Roman" w:hAnsi="Times New Roman" w:eastAsia="仿宋"/>
                <w:kern w:val="2"/>
                <w:sz w:val="24"/>
                <w:szCs w:val="24"/>
                <w:lang w:val="en-US" w:eastAsia="zh-CN"/>
              </w:rPr>
              <w:t>3.0</w:t>
            </w:r>
          </w:p>
        </w:tc>
        <w:tc>
          <w:tcPr>
            <w:tcW w:w="486" w:type="pct"/>
            <w:tcBorders>
              <w:top w:val="single" w:color="auto" w:sz="4" w:space="0"/>
              <w:left w:val="single" w:color="auto" w:sz="4" w:space="0"/>
              <w:bottom w:val="single" w:color="auto" w:sz="4" w:space="0"/>
              <w:right w:val="single" w:color="auto" w:sz="4" w:space="0"/>
            </w:tcBorders>
            <w:vAlign w:val="center"/>
          </w:tcPr>
          <w:p w14:paraId="10C91C7A">
            <w:pPr>
              <w:autoSpaceDE w:val="0"/>
              <w:adjustRightInd w:val="0"/>
              <w:snapToGrid w:val="0"/>
              <w:spacing w:line="560" w:lineRule="exact"/>
              <w:jc w:val="center"/>
              <w:rPr>
                <w:rFonts w:ascii="Times New Roman" w:hAnsi="Times New Roman" w:eastAsia="仿宋"/>
                <w:kern w:val="2"/>
                <w:sz w:val="24"/>
                <w:szCs w:val="24"/>
              </w:rPr>
            </w:pPr>
          </w:p>
        </w:tc>
      </w:tr>
      <w:tr w14:paraId="3B979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3" w:type="pct"/>
            <w:tcBorders>
              <w:top w:val="single" w:color="auto" w:sz="4" w:space="0"/>
              <w:left w:val="single" w:color="auto" w:sz="4" w:space="0"/>
              <w:bottom w:val="single" w:color="auto" w:sz="4" w:space="0"/>
              <w:right w:val="single" w:color="auto" w:sz="4" w:space="0"/>
            </w:tcBorders>
            <w:vAlign w:val="center"/>
          </w:tcPr>
          <w:p w14:paraId="58297030">
            <w:pPr>
              <w:autoSpaceDE w:val="0"/>
              <w:adjustRightInd w:val="0"/>
              <w:snapToGrid w:val="0"/>
              <w:spacing w:line="560" w:lineRule="exact"/>
              <w:jc w:val="center"/>
              <w:rPr>
                <w:rFonts w:ascii="Times New Roman" w:hAnsi="Times New Roman" w:eastAsia="仿宋"/>
                <w:kern w:val="2"/>
                <w:sz w:val="24"/>
                <w:szCs w:val="24"/>
              </w:rPr>
            </w:pPr>
            <w:r>
              <w:rPr>
                <w:rFonts w:ascii="Times New Roman" w:hAnsi="Times New Roman" w:eastAsia="仿宋"/>
                <w:kern w:val="0"/>
                <w:sz w:val="24"/>
                <w:szCs w:val="24"/>
              </w:rPr>
              <w:t>6</w:t>
            </w:r>
          </w:p>
        </w:tc>
        <w:tc>
          <w:tcPr>
            <w:tcW w:w="3167" w:type="pct"/>
            <w:gridSpan w:val="2"/>
            <w:tcBorders>
              <w:top w:val="single" w:color="auto" w:sz="4" w:space="0"/>
              <w:left w:val="single" w:color="auto" w:sz="4" w:space="0"/>
              <w:bottom w:val="single" w:color="auto" w:sz="4" w:space="0"/>
              <w:right w:val="single" w:color="auto" w:sz="4" w:space="0"/>
            </w:tcBorders>
            <w:vAlign w:val="center"/>
          </w:tcPr>
          <w:p w14:paraId="45A01B3F">
            <w:pPr>
              <w:autoSpaceDE w:val="0"/>
              <w:adjustRightInd w:val="0"/>
              <w:snapToGrid w:val="0"/>
              <w:spacing w:line="560" w:lineRule="exact"/>
              <w:jc w:val="center"/>
              <w:rPr>
                <w:rFonts w:ascii="Times New Roman" w:hAnsi="Times New Roman" w:eastAsia="仿宋"/>
                <w:kern w:val="2"/>
                <w:sz w:val="24"/>
                <w:szCs w:val="24"/>
              </w:rPr>
            </w:pPr>
            <w:r>
              <w:rPr>
                <w:rFonts w:ascii="仿宋" w:hAnsi="仿宋" w:eastAsia="仿宋"/>
                <w:kern w:val="0"/>
                <w:sz w:val="24"/>
                <w:szCs w:val="24"/>
              </w:rPr>
              <w:t>总计</w:t>
            </w:r>
          </w:p>
        </w:tc>
        <w:tc>
          <w:tcPr>
            <w:tcW w:w="812" w:type="pct"/>
            <w:tcBorders>
              <w:top w:val="single" w:color="auto" w:sz="4" w:space="0"/>
              <w:left w:val="single" w:color="auto" w:sz="4" w:space="0"/>
              <w:bottom w:val="single" w:color="auto" w:sz="4" w:space="0"/>
              <w:right w:val="single" w:color="auto" w:sz="4" w:space="0"/>
            </w:tcBorders>
            <w:vAlign w:val="center"/>
          </w:tcPr>
          <w:p w14:paraId="6F4DEC71">
            <w:pPr>
              <w:autoSpaceDE w:val="0"/>
              <w:adjustRightInd w:val="0"/>
              <w:snapToGrid w:val="0"/>
              <w:spacing w:line="560" w:lineRule="exact"/>
              <w:jc w:val="center"/>
              <w:rPr>
                <w:rFonts w:ascii="Times New Roman" w:hAnsi="Times New Roman" w:eastAsia="仿宋"/>
                <w:kern w:val="2"/>
                <w:sz w:val="24"/>
                <w:szCs w:val="24"/>
              </w:rPr>
            </w:pPr>
            <w:r>
              <w:rPr>
                <w:rFonts w:ascii="Times New Roman" w:hAnsi="Times New Roman" w:eastAsia="仿宋"/>
                <w:kern w:val="0"/>
                <w:sz w:val="24"/>
                <w:szCs w:val="24"/>
              </w:rPr>
              <w:t>42.4</w:t>
            </w:r>
          </w:p>
        </w:tc>
        <w:tc>
          <w:tcPr>
            <w:tcW w:w="486" w:type="pct"/>
            <w:tcBorders>
              <w:top w:val="single" w:color="auto" w:sz="4" w:space="0"/>
              <w:left w:val="single" w:color="auto" w:sz="4" w:space="0"/>
              <w:bottom w:val="single" w:color="auto" w:sz="4" w:space="0"/>
              <w:right w:val="single" w:color="auto" w:sz="4" w:space="0"/>
            </w:tcBorders>
            <w:vAlign w:val="center"/>
          </w:tcPr>
          <w:p w14:paraId="1557481D">
            <w:pPr>
              <w:autoSpaceDE w:val="0"/>
              <w:adjustRightInd w:val="0"/>
              <w:snapToGrid w:val="0"/>
              <w:spacing w:line="560" w:lineRule="exact"/>
              <w:jc w:val="center"/>
              <w:rPr>
                <w:rFonts w:ascii="Times New Roman" w:hAnsi="Times New Roman" w:eastAsia="仿宋"/>
                <w:kern w:val="2"/>
                <w:sz w:val="24"/>
                <w:szCs w:val="24"/>
              </w:rPr>
            </w:pPr>
          </w:p>
        </w:tc>
      </w:tr>
    </w:tbl>
    <w:p w14:paraId="1FD5C98E">
      <w:pPr>
        <w:autoSpaceDE w:val="0"/>
        <w:adjustRightInd w:val="0"/>
        <w:snapToGrid w:val="0"/>
        <w:spacing w:line="560" w:lineRule="exact"/>
        <w:ind w:firstLine="200"/>
        <w:rPr>
          <w:rFonts w:ascii="Times New Roman" w:hAnsi="Times New Roman"/>
        </w:rPr>
      </w:pPr>
      <w:r>
        <w:rPr>
          <w:rFonts w:ascii="Times New Roman" w:hAnsi="Times New Roman"/>
        </w:rPr>
        <w:t xml:space="preserve"> </w:t>
      </w:r>
    </w:p>
    <w:p w14:paraId="46F3D84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楷体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78357C"/>
    <w:multiLevelType w:val="singleLevel"/>
    <w:tmpl w:val="4B78357C"/>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E86"/>
    <w:rsid w:val="009D6E86"/>
    <w:rsid w:val="00F36D24"/>
    <w:rsid w:val="01EA3E16"/>
    <w:rsid w:val="0363479C"/>
    <w:rsid w:val="0A591B72"/>
    <w:rsid w:val="0D023A8F"/>
    <w:rsid w:val="0D402181"/>
    <w:rsid w:val="0DA96362"/>
    <w:rsid w:val="0E01642F"/>
    <w:rsid w:val="0FAE390F"/>
    <w:rsid w:val="103C5F0E"/>
    <w:rsid w:val="15C83D60"/>
    <w:rsid w:val="1ABB736F"/>
    <w:rsid w:val="2A6420DA"/>
    <w:rsid w:val="2B6208AB"/>
    <w:rsid w:val="2E1B7412"/>
    <w:rsid w:val="3562308C"/>
    <w:rsid w:val="49772B6D"/>
    <w:rsid w:val="4C4F2355"/>
    <w:rsid w:val="4EC143E3"/>
    <w:rsid w:val="56363554"/>
    <w:rsid w:val="5D7C3EAA"/>
    <w:rsid w:val="623D3F10"/>
    <w:rsid w:val="66A91CC6"/>
    <w:rsid w:val="68E442A8"/>
    <w:rsid w:val="6DCB4B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unhideWhenUsed/>
    <w:qFormat/>
    <w:uiPriority w:val="99"/>
    <w:rPr>
      <w:rFonts w:ascii="Times New Roman" w:hAnsi="Times New Roman" w:eastAsia="Times New Roman"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3324</Words>
  <Characters>3506</Characters>
  <Lines>20</Lines>
  <Paragraphs>5</Paragraphs>
  <TotalTime>1</TotalTime>
  <ScaleCrop>false</ScaleCrop>
  <LinksUpToDate>false</LinksUpToDate>
  <CharactersWithSpaces>3574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2022-02-18T01:23:00Z</dcterms:created>
  <dc:creator>njz3</dc:creator>
  <cp:lastModifiedBy>-、青春是我们仅剩的资本</cp:lastModifiedBy>
  <dcterms:modified xsi:type="dcterms:W3CDTF">2025-04-21T02:58:31Z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8D6D462C4CB04112A3C5F35C3D5F574A_13</vt:lpwstr>
  </property>
  <property fmtid="{D5CDD505-2E9C-101B-9397-08002B2CF9AE}" pid="4" name="KSOTemplateDocerSaveRecord">
    <vt:lpwstr>eyJoZGlkIjoiZGU5ZGRkOGRmZDMyNDkyZDA5MzM2ZDA5ZDM5OGM1OTUiLCJ1c2VySWQiOiIyODI1ODY3MzAifQ==</vt:lpwstr>
  </property>
</Properties>
</file>